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41" w:rsidRDefault="00612BEF">
      <w:r>
        <w:t>Príloha 2/SWOT</w:t>
      </w:r>
    </w:p>
    <w:p w:rsidR="00612BEF" w:rsidRDefault="00612BEF" w:rsidP="00612BEF">
      <w:pPr>
        <w:pStyle w:val="CM1"/>
        <w:spacing w:before="200" w:after="200"/>
        <w:jc w:val="both"/>
        <w:rPr>
          <w:rFonts w:asciiTheme="minorHAnsi" w:hAnsiTheme="minorHAnsi"/>
          <w:sz w:val="22"/>
          <w:szCs w:val="22"/>
        </w:rPr>
      </w:pPr>
    </w:p>
    <w:p w:rsidR="00612BEF" w:rsidRPr="00612BEF" w:rsidRDefault="00612BEF" w:rsidP="00612BEF">
      <w:pPr>
        <w:pStyle w:val="Odsekzoznamu"/>
        <w:keepNext/>
        <w:keepLines/>
        <w:numPr>
          <w:ilvl w:val="0"/>
          <w:numId w:val="1"/>
        </w:numPr>
        <w:pBdr>
          <w:bar w:val="single" w:sz="6" w:color="808080"/>
        </w:pBdr>
        <w:jc w:val="both"/>
        <w:outlineLvl w:val="1"/>
        <w:rPr>
          <w:rFonts w:ascii="Calibri" w:hAnsi="Calibri"/>
          <w:b/>
          <w:bCs/>
        </w:rPr>
      </w:pPr>
      <w:r w:rsidRPr="00612BEF">
        <w:rPr>
          <w:rFonts w:ascii="Calibri" w:hAnsi="Calibri"/>
          <w:b/>
          <w:bCs/>
        </w:rPr>
        <w:t>Všeobecná charakteristika územia</w:t>
      </w:r>
    </w:p>
    <w:p w:rsidR="00612BEF" w:rsidRDefault="00612BEF" w:rsidP="00612BEF">
      <w:pPr>
        <w:pStyle w:val="CM1"/>
        <w:spacing w:before="200" w:after="200"/>
        <w:jc w:val="both"/>
        <w:rPr>
          <w:rFonts w:asciiTheme="minorHAnsi" w:hAnsiTheme="minorHAnsi"/>
          <w:sz w:val="22"/>
          <w:szCs w:val="22"/>
        </w:rPr>
      </w:pPr>
    </w:p>
    <w:p w:rsidR="00612BEF" w:rsidRDefault="00612BEF" w:rsidP="00612BEF">
      <w:pPr>
        <w:pStyle w:val="CM1"/>
        <w:spacing w:before="200" w:after="200"/>
        <w:jc w:val="both"/>
        <w:rPr>
          <w:rFonts w:cs="EUAlbertina"/>
          <w:bCs/>
        </w:rPr>
      </w:pPr>
      <w:r w:rsidRPr="00DF24CD">
        <w:rPr>
          <w:rFonts w:asciiTheme="minorHAnsi" w:hAnsiTheme="minorHAnsi"/>
          <w:sz w:val="22"/>
          <w:szCs w:val="22"/>
        </w:rPr>
        <w:t>Na základe V</w:t>
      </w:r>
      <w:r w:rsidRPr="00DF24CD">
        <w:rPr>
          <w:rFonts w:asciiTheme="minorHAnsi" w:hAnsiTheme="minorHAnsi" w:cs="Times New Roman"/>
          <w:sz w:val="22"/>
          <w:szCs w:val="22"/>
        </w:rPr>
        <w:t>ykoná</w:t>
      </w:r>
      <w:r w:rsidRPr="00DF24CD">
        <w:rPr>
          <w:rFonts w:asciiTheme="minorHAnsi" w:hAnsiTheme="minorHAnsi"/>
          <w:sz w:val="22"/>
          <w:szCs w:val="22"/>
        </w:rPr>
        <w:t>va</w:t>
      </w:r>
      <w:r w:rsidRPr="00DF24CD">
        <w:rPr>
          <w:rFonts w:asciiTheme="minorHAnsi" w:hAnsiTheme="minorHAnsi" w:cs="Times New Roman"/>
          <w:sz w:val="22"/>
          <w:szCs w:val="22"/>
        </w:rPr>
        <w:t>cieho rozh</w:t>
      </w:r>
      <w:r w:rsidRPr="00DF24CD">
        <w:rPr>
          <w:rFonts w:asciiTheme="minorHAnsi" w:hAnsiTheme="minorHAnsi"/>
          <w:sz w:val="22"/>
          <w:szCs w:val="22"/>
        </w:rPr>
        <w:t>odnutia</w:t>
      </w:r>
      <w:r w:rsidRPr="00DF24CD">
        <w:rPr>
          <w:rFonts w:asciiTheme="minorHAnsi" w:hAnsiTheme="minorHAnsi" w:cs="Times New Roman"/>
          <w:sz w:val="22"/>
          <w:szCs w:val="22"/>
        </w:rPr>
        <w:t xml:space="preserve"> Komisie z 18. februára 2014 č. 2014/99/EÚ</w:t>
      </w:r>
      <w:r w:rsidRPr="00DF2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Zoznamu menej rozvinutých regiónov v rámci SR boli zaradené podľa Čl. 1 v Prílohe I uvedeného Vykonávacieho rozhodnutia: </w:t>
      </w:r>
      <w:r w:rsidRPr="00DF24CD">
        <w:rPr>
          <w:rFonts w:asciiTheme="minorHAnsi" w:hAnsiTheme="minorHAnsi"/>
          <w:b/>
          <w:sz w:val="22"/>
          <w:szCs w:val="22"/>
        </w:rPr>
        <w:t>Západné, Stredné a Východné Slovensko</w:t>
      </w:r>
      <w:r>
        <w:rPr>
          <w:rFonts w:asciiTheme="minorHAnsi" w:hAnsiTheme="minorHAnsi"/>
          <w:sz w:val="22"/>
          <w:szCs w:val="22"/>
        </w:rPr>
        <w:t xml:space="preserve"> a podľa Čl. 3 v Prílohe III aj </w:t>
      </w:r>
      <w:r w:rsidRPr="00DF24CD">
        <w:rPr>
          <w:rFonts w:asciiTheme="minorHAnsi" w:hAnsiTheme="minorHAnsi"/>
          <w:b/>
          <w:sz w:val="22"/>
          <w:szCs w:val="22"/>
        </w:rPr>
        <w:t>Bratislavský kraj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F24CD">
        <w:rPr>
          <w:rFonts w:asciiTheme="minorHAnsi" w:hAnsiTheme="minorHAnsi"/>
          <w:sz w:val="22"/>
          <w:szCs w:val="22"/>
        </w:rPr>
        <w:t>(okrem hlavného mesta SR Bratislavy)</w:t>
      </w:r>
      <w:r>
        <w:rPr>
          <w:rFonts w:asciiTheme="minorHAnsi" w:hAnsiTheme="minorHAnsi"/>
          <w:sz w:val="22"/>
          <w:szCs w:val="22"/>
        </w:rPr>
        <w:t xml:space="preserve">. Slovensko je oprávneným </w:t>
      </w:r>
      <w:r w:rsidRPr="00DF24CD">
        <w:rPr>
          <w:rFonts w:asciiTheme="minorHAnsi" w:hAnsiTheme="minorHAnsi" w:cs="EUAlbertina"/>
          <w:bCs/>
          <w:color w:val="000000"/>
          <w:sz w:val="22"/>
          <w:szCs w:val="22"/>
        </w:rPr>
        <w:t>členským štátom na financovanie z Kohézneho fondu podľa článku 4 (Príloha IV).</w:t>
      </w:r>
      <w:r>
        <w:rPr>
          <w:rFonts w:asciiTheme="minorHAnsi" w:hAnsiTheme="minorHAnsi" w:cs="EUAlbertina"/>
          <w:bCs/>
          <w:color w:val="000000"/>
          <w:sz w:val="22"/>
          <w:szCs w:val="22"/>
        </w:rPr>
        <w:t xml:space="preserve"> V programovacom období 2014-2020 bude podpora rozvoja vidieka, vidieckych oblastí v SR v </w:t>
      </w:r>
      <w:r w:rsidRPr="00DF24CD">
        <w:rPr>
          <w:rFonts w:asciiTheme="minorHAnsi" w:hAnsiTheme="minorHAnsi" w:cs="Times New Roman"/>
          <w:sz w:val="22"/>
          <w:szCs w:val="22"/>
        </w:rPr>
        <w:t>s</w:t>
      </w:r>
      <w:r w:rsidRPr="00DF24CD">
        <w:rPr>
          <w:rFonts w:asciiTheme="minorHAnsi" w:hAnsiTheme="minorHAnsi"/>
          <w:sz w:val="22"/>
          <w:szCs w:val="22"/>
        </w:rPr>
        <w:t>ú</w:t>
      </w:r>
      <w:r w:rsidRPr="00DF24CD">
        <w:rPr>
          <w:rFonts w:asciiTheme="minorHAnsi" w:hAnsiTheme="minorHAnsi" w:cs="Times New Roman"/>
          <w:sz w:val="22"/>
          <w:szCs w:val="22"/>
        </w:rPr>
        <w:t>lade s </w:t>
      </w:r>
      <w:r w:rsidRPr="00DF24CD">
        <w:rPr>
          <w:rFonts w:asciiTheme="minorHAnsi" w:hAnsiTheme="minorHAnsi"/>
          <w:sz w:val="22"/>
          <w:szCs w:val="22"/>
        </w:rPr>
        <w:t>V</w:t>
      </w:r>
      <w:r w:rsidRPr="00DF24CD">
        <w:rPr>
          <w:rFonts w:asciiTheme="minorHAnsi" w:hAnsiTheme="minorHAnsi" w:cs="Times New Roman"/>
          <w:sz w:val="22"/>
          <w:szCs w:val="22"/>
        </w:rPr>
        <w:t>ykoná</w:t>
      </w:r>
      <w:r w:rsidRPr="00DF24CD">
        <w:rPr>
          <w:rFonts w:asciiTheme="minorHAnsi" w:hAnsiTheme="minorHAnsi"/>
          <w:sz w:val="22"/>
          <w:szCs w:val="22"/>
        </w:rPr>
        <w:t>vacím</w:t>
      </w:r>
      <w:r w:rsidRPr="00DF24CD">
        <w:rPr>
          <w:rFonts w:asciiTheme="minorHAnsi" w:hAnsiTheme="minorHAnsi" w:cs="Times New Roman"/>
          <w:sz w:val="22"/>
          <w:szCs w:val="22"/>
        </w:rPr>
        <w:t xml:space="preserve"> rozh</w:t>
      </w:r>
      <w:r w:rsidRPr="00DF24CD">
        <w:rPr>
          <w:rFonts w:asciiTheme="minorHAnsi" w:hAnsiTheme="minorHAnsi"/>
          <w:sz w:val="22"/>
          <w:szCs w:val="22"/>
        </w:rPr>
        <w:t>odnutím</w:t>
      </w:r>
      <w:r w:rsidRPr="00DF24CD">
        <w:rPr>
          <w:rFonts w:asciiTheme="minorHAnsi" w:hAnsiTheme="minorHAnsi" w:cs="Times New Roman"/>
          <w:sz w:val="22"/>
          <w:szCs w:val="22"/>
        </w:rPr>
        <w:t xml:space="preserve"> Komisie č. 2014/99/EÚ</w:t>
      </w:r>
      <w:r w:rsidRPr="00DF24CD">
        <w:rPr>
          <w:rFonts w:asciiTheme="minorHAnsi" w:hAnsiTheme="minorHAnsi"/>
          <w:sz w:val="22"/>
          <w:szCs w:val="22"/>
        </w:rPr>
        <w:t xml:space="preserve"> a tiež s </w:t>
      </w:r>
      <w:r w:rsidRPr="00DF24CD">
        <w:rPr>
          <w:rFonts w:asciiTheme="minorHAnsi" w:hAnsiTheme="minorHAnsi" w:cs="Times New Roman"/>
          <w:sz w:val="22"/>
          <w:szCs w:val="22"/>
        </w:rPr>
        <w:t>Článkom 50 Nariaden</w:t>
      </w:r>
      <w:r w:rsidRPr="00DF24CD">
        <w:rPr>
          <w:rFonts w:asciiTheme="minorHAnsi" w:hAnsiTheme="minorHAnsi"/>
          <w:sz w:val="22"/>
          <w:szCs w:val="22"/>
        </w:rPr>
        <w:t xml:space="preserve">ia Európskeho parlamentu a Rady (EÚ) č. 1305/2013 </w:t>
      </w:r>
      <w:r w:rsidRPr="00DF24CD">
        <w:rPr>
          <w:rFonts w:asciiTheme="minorHAnsi" w:hAnsiTheme="minorHAnsi" w:cs="EUAlbertina"/>
          <w:bCs/>
          <w:color w:val="000000"/>
          <w:sz w:val="22"/>
          <w:szCs w:val="22"/>
        </w:rPr>
        <w:t xml:space="preserve">zo 17. decembra 2013 </w:t>
      </w:r>
      <w:r w:rsidRPr="00DF24CD">
        <w:rPr>
          <w:rFonts w:asciiTheme="minorHAnsi" w:hAnsiTheme="minorHAnsi" w:cs="EUAlbertina"/>
          <w:bCs/>
          <w:sz w:val="22"/>
          <w:szCs w:val="22"/>
        </w:rPr>
        <w:t>o podpore rozvoja vidieka prostredníctvom Európskeho poľnohospodárskeho fondu pre rozvoj vidieka (EPFRV) a o zrušení nariadenia Rady (ES) č. 1698/2005.</w:t>
      </w:r>
      <w:r>
        <w:rPr>
          <w:rFonts w:asciiTheme="minorHAnsi" w:hAnsiTheme="minorHAnsi" w:cs="EUAlbertina"/>
          <w:bCs/>
          <w:sz w:val="22"/>
          <w:szCs w:val="22"/>
        </w:rPr>
        <w:t xml:space="preserve"> </w:t>
      </w:r>
    </w:p>
    <w:p w:rsidR="00612BEF" w:rsidRDefault="00612BEF" w:rsidP="00612BEF">
      <w:pPr>
        <w:spacing w:after="0" w:line="240" w:lineRule="auto"/>
        <w:jc w:val="both"/>
      </w:pPr>
      <w:r>
        <w:t>Klasifikáciu</w:t>
      </w:r>
      <w:r w:rsidRPr="00DF24CD">
        <w:t xml:space="preserve"> </w:t>
      </w:r>
      <w:r>
        <w:t xml:space="preserve">menej rozvinutých regiónov v SR na úrovni NUTS </w:t>
      </w:r>
      <w:r w:rsidRPr="00DF24CD">
        <w:t>2</w:t>
      </w:r>
      <w:r>
        <w:t xml:space="preserve"> podľa hustoty obyvateľov v týchto regiónoch uvádza nasledovná tabuľka. Podľa </w:t>
      </w:r>
      <w:proofErr w:type="spellStart"/>
      <w:r>
        <w:t>Eurostatu</w:t>
      </w:r>
      <w:proofErr w:type="spellEnd"/>
      <w:r>
        <w:t xml:space="preserve"> je najviac obyvateľov na km</w:t>
      </w:r>
      <w:r w:rsidRPr="00DF24CD">
        <w:rPr>
          <w:vertAlign w:val="superscript"/>
        </w:rPr>
        <w:t>2</w:t>
      </w:r>
      <w:r>
        <w:t xml:space="preserve"> v Bratislavskom kraji (296,9 obyv./km</w:t>
      </w:r>
      <w:r w:rsidRPr="001D0177">
        <w:rPr>
          <w:vertAlign w:val="superscript"/>
        </w:rPr>
        <w:t>2</w:t>
      </w:r>
      <w:r>
        <w:t xml:space="preserve"> v r. 2012) a najmenej na Strednom Slovensku (83 obyv./km</w:t>
      </w:r>
      <w:r w:rsidRPr="00DF24CD">
        <w:rPr>
          <w:vertAlign w:val="superscript"/>
        </w:rPr>
        <w:t>2</w:t>
      </w:r>
      <w:r>
        <w:t xml:space="preserve"> v r. 2012). V r.2012 počet obyvateľov na km</w:t>
      </w:r>
      <w:r w:rsidRPr="00DF24CD">
        <w:rPr>
          <w:vertAlign w:val="superscript"/>
        </w:rPr>
        <w:t xml:space="preserve">2 </w:t>
      </w:r>
      <w:r>
        <w:rPr>
          <w:vertAlign w:val="superscript"/>
        </w:rPr>
        <w:t xml:space="preserve"> </w:t>
      </w:r>
      <w:r>
        <w:t xml:space="preserve">predstavoval 122,8 na Západnom a 101,8 na Strednom Slovensku. </w:t>
      </w:r>
    </w:p>
    <w:p w:rsidR="00612BEF" w:rsidRPr="00A30837" w:rsidRDefault="00612BEF" w:rsidP="00612BEF">
      <w:pPr>
        <w:spacing w:after="0" w:line="240" w:lineRule="auto"/>
        <w:rPr>
          <w:b/>
          <w:sz w:val="20"/>
          <w:szCs w:val="20"/>
        </w:rPr>
      </w:pPr>
      <w:r w:rsidRPr="00DF24CD">
        <w:rPr>
          <w:b/>
          <w:sz w:val="20"/>
          <w:szCs w:val="20"/>
        </w:rPr>
        <w:t>Hustota obyvateľov podľa regiónov NUTS 2 v Slovenskej republike v rokoch 2010 – 2012</w:t>
      </w:r>
    </w:p>
    <w:p w:rsidR="00612BEF" w:rsidRPr="00A30837" w:rsidRDefault="00612BEF" w:rsidP="00612BEF">
      <w:pPr>
        <w:spacing w:after="0" w:line="240" w:lineRule="auto"/>
        <w:rPr>
          <w:i/>
          <w:sz w:val="20"/>
          <w:szCs w:val="20"/>
        </w:rPr>
      </w:pPr>
      <w:r w:rsidRPr="00DF24CD">
        <w:rPr>
          <w:i/>
          <w:sz w:val="20"/>
          <w:szCs w:val="20"/>
        </w:rPr>
        <w:t>(počet obyvateľov na km</w:t>
      </w:r>
      <w:r w:rsidRPr="00DF24CD">
        <w:rPr>
          <w:i/>
          <w:sz w:val="20"/>
          <w:szCs w:val="20"/>
          <w:vertAlign w:val="superscript"/>
        </w:rPr>
        <w:t>2</w:t>
      </w:r>
      <w:r w:rsidRPr="00DF24CD">
        <w:rPr>
          <w:i/>
          <w:sz w:val="20"/>
          <w:szCs w:val="20"/>
        </w:rPr>
        <w:t>)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12BEF" w:rsidRPr="00A30837" w:rsidTr="00201CCC">
        <w:tc>
          <w:tcPr>
            <w:tcW w:w="2303" w:type="dxa"/>
            <w:vMerge w:val="restart"/>
            <w:vAlign w:val="center"/>
          </w:tcPr>
          <w:p w:rsidR="00612BEF" w:rsidRPr="00A30837" w:rsidRDefault="00612BEF" w:rsidP="00201CCC">
            <w:pPr>
              <w:jc w:val="center"/>
              <w:rPr>
                <w:b/>
                <w:sz w:val="20"/>
                <w:szCs w:val="20"/>
              </w:rPr>
            </w:pPr>
            <w:r w:rsidRPr="00A30837">
              <w:rPr>
                <w:b/>
                <w:sz w:val="20"/>
                <w:szCs w:val="20"/>
              </w:rPr>
              <w:t>Región</w:t>
            </w:r>
          </w:p>
        </w:tc>
        <w:tc>
          <w:tcPr>
            <w:tcW w:w="6909" w:type="dxa"/>
            <w:gridSpan w:val="3"/>
          </w:tcPr>
          <w:p w:rsidR="00612BEF" w:rsidRPr="00A30837" w:rsidRDefault="00612BEF" w:rsidP="00201CCC">
            <w:pPr>
              <w:jc w:val="center"/>
              <w:rPr>
                <w:b/>
                <w:sz w:val="20"/>
                <w:szCs w:val="20"/>
              </w:rPr>
            </w:pPr>
            <w:r w:rsidRPr="00A30837">
              <w:rPr>
                <w:b/>
                <w:sz w:val="20"/>
                <w:szCs w:val="20"/>
              </w:rPr>
              <w:t>Počet obyvateľov na km</w:t>
            </w:r>
            <w:r w:rsidRPr="00A30837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A30837">
              <w:rPr>
                <w:b/>
                <w:sz w:val="20"/>
                <w:szCs w:val="20"/>
              </w:rPr>
              <w:t>v uvedených rokoch:</w:t>
            </w:r>
          </w:p>
        </w:tc>
      </w:tr>
      <w:tr w:rsidR="00612BEF" w:rsidRPr="00A30837" w:rsidTr="00201CCC">
        <w:tc>
          <w:tcPr>
            <w:tcW w:w="2303" w:type="dxa"/>
            <w:vMerge/>
          </w:tcPr>
          <w:p w:rsidR="00612BEF" w:rsidRDefault="00612BEF" w:rsidP="00201C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612BEF" w:rsidRDefault="00612BEF" w:rsidP="0020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612BEF" w:rsidRPr="00A30837" w:rsidTr="00201CCC">
        <w:tc>
          <w:tcPr>
            <w:tcW w:w="2303" w:type="dxa"/>
          </w:tcPr>
          <w:p w:rsidR="00612BEF" w:rsidRDefault="00612BEF" w:rsidP="00201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Bratislavský kraj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291.8 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293.9 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296.9 </w:t>
            </w:r>
          </w:p>
        </w:tc>
      </w:tr>
      <w:tr w:rsidR="00612BEF" w:rsidRPr="00A30837" w:rsidTr="00201CCC">
        <w:tc>
          <w:tcPr>
            <w:tcW w:w="2303" w:type="dxa"/>
          </w:tcPr>
          <w:p w:rsidR="00612BEF" w:rsidRDefault="00612BEF" w:rsidP="00201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Západné Slovensko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122.8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122.7 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122.6 </w:t>
            </w:r>
          </w:p>
        </w:tc>
      </w:tr>
      <w:tr w:rsidR="00612BEF" w:rsidRPr="00A30837" w:rsidTr="00201CCC">
        <w:tc>
          <w:tcPr>
            <w:tcW w:w="2303" w:type="dxa"/>
          </w:tcPr>
          <w:p w:rsidR="00612BEF" w:rsidRDefault="00612BEF" w:rsidP="00201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Stredné Slovensko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83 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612BEF" w:rsidRPr="00A30837" w:rsidTr="00201CCC">
        <w:trPr>
          <w:trHeight w:val="283"/>
        </w:trPr>
        <w:tc>
          <w:tcPr>
            <w:tcW w:w="2303" w:type="dxa"/>
          </w:tcPr>
          <w:p w:rsidR="00612BEF" w:rsidRDefault="00612BEF" w:rsidP="00201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Východné Slovensko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101.8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102.1</w:t>
            </w:r>
          </w:p>
        </w:tc>
        <w:tc>
          <w:tcPr>
            <w:tcW w:w="2303" w:type="dxa"/>
          </w:tcPr>
          <w:p w:rsidR="00612BEF" w:rsidRDefault="00612BEF" w:rsidP="00201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102.4</w:t>
            </w:r>
          </w:p>
        </w:tc>
      </w:tr>
    </w:tbl>
    <w:p w:rsidR="00612BEF" w:rsidRPr="00A30837" w:rsidRDefault="00612BEF" w:rsidP="00612BE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Zdroj: </w:t>
      </w:r>
      <w:proofErr w:type="spellStart"/>
      <w:r>
        <w:rPr>
          <w:i/>
          <w:sz w:val="20"/>
          <w:szCs w:val="20"/>
        </w:rPr>
        <w:t>Eurostat</w:t>
      </w:r>
      <w:proofErr w:type="spellEnd"/>
    </w:p>
    <w:p w:rsidR="00612BEF" w:rsidRDefault="00612BEF" w:rsidP="00612BEF">
      <w:pPr>
        <w:pStyle w:val="Default"/>
      </w:pPr>
    </w:p>
    <w:p w:rsidR="00612BEF" w:rsidRPr="00612BEF" w:rsidRDefault="00612BEF" w:rsidP="00612BEF">
      <w:pPr>
        <w:pStyle w:val="Odsekzoznamu"/>
        <w:numPr>
          <w:ilvl w:val="0"/>
          <w:numId w:val="1"/>
        </w:numPr>
        <w:jc w:val="both"/>
        <w:rPr>
          <w:b/>
        </w:rPr>
      </w:pPr>
      <w:r w:rsidRPr="00612BEF">
        <w:rPr>
          <w:b/>
        </w:rPr>
        <w:t>Používanie internetu, počítačová gramotnosť</w:t>
      </w:r>
    </w:p>
    <w:p w:rsidR="00612BEF" w:rsidRDefault="00612BEF"/>
    <w:p w:rsidR="00612BEF" w:rsidRPr="007901BD" w:rsidRDefault="00612BEF" w:rsidP="00612BEF">
      <w:pPr>
        <w:jc w:val="both"/>
        <w:rPr>
          <w:rFonts w:ascii="Calibri" w:hAnsi="Calibri"/>
        </w:rPr>
      </w:pPr>
      <w:r>
        <w:t xml:space="preserve">V rámci </w:t>
      </w:r>
      <w:r w:rsidRPr="00DF24CD">
        <w:rPr>
          <w:b/>
        </w:rPr>
        <w:t>Operačného programu Integrovaná infraštruktúra 2014 - 2020</w:t>
      </w:r>
      <w:r>
        <w:t xml:space="preserve"> (Bratislava: MDVRR SR, MF SR, marec 2014; skrátene „OPII“), širokopásmový internet je riešený v prioritnej osi 7 (PO7) Informačná spoločnosť, Investičná priorita 2a) Rozšírenie širokopásmového pripojenia a zavádzanie vysokorýchlostných sietí a podpora zavádzania nastupujúcich technológií a sietí pre digitálne hospodárstvo. OPII podporí realizáciu budovania širokopásmového pripojenia a zavádzanie sietí nových generácií. Pri riešení bielych miest širokopásmovým internetom o minimálnej rýchlosti 30 Mbit/s sa zameria na výstavbu národných regionálnych sietí a budovanie prístupových sietí prostredníctvom dopytových projektov v oblastiach zlyhania trhu. OPII tiež zabezpečí príslušné </w:t>
      </w:r>
      <w:r w:rsidRPr="00DF24CD">
        <w:rPr>
          <w:rFonts w:ascii="Calibri" w:hAnsi="Calibri"/>
        </w:rPr>
        <w:t xml:space="preserve">analytické práce a koordináciu výstavby sietí. </w:t>
      </w:r>
    </w:p>
    <w:p w:rsidR="00612BEF" w:rsidRPr="00913910" w:rsidRDefault="00612BEF" w:rsidP="00612BEF">
      <w:pPr>
        <w:spacing w:after="0" w:line="240" w:lineRule="auto"/>
        <w:jc w:val="both"/>
        <w:rPr>
          <w:rFonts w:cs="Arial"/>
        </w:rPr>
      </w:pPr>
      <w:r w:rsidRPr="00DF24CD">
        <w:rPr>
          <w:rFonts w:ascii="Calibri" w:hAnsi="Calibri" w:cs="Arial"/>
        </w:rPr>
        <w:t>V rámci tejto investičnej priority 2a) budú investície z verejných zdrojov smerované na implementáciu nasledujúcich aktivít</w:t>
      </w:r>
      <w:r>
        <w:rPr>
          <w:rFonts w:ascii="Calibri" w:hAnsi="Calibri" w:cs="Arial"/>
        </w:rPr>
        <w:t xml:space="preserve"> </w:t>
      </w:r>
      <w:r w:rsidRPr="00DF24CD">
        <w:rPr>
          <w:rFonts w:cs="Arial"/>
        </w:rPr>
        <w:t xml:space="preserve">(podľa </w:t>
      </w:r>
      <w:r>
        <w:rPr>
          <w:rFonts w:cs="Arial"/>
        </w:rPr>
        <w:t>„</w:t>
      </w:r>
      <w:r w:rsidRPr="00DF24CD">
        <w:rPr>
          <w:rFonts w:ascii="Calibri" w:eastAsia="Calibri" w:hAnsi="Calibri" w:cs="Arial"/>
        </w:rPr>
        <w:t>Systém</w:t>
      </w:r>
      <w:r w:rsidRPr="00DF24CD">
        <w:rPr>
          <w:rFonts w:cs="Arial"/>
        </w:rPr>
        <w:t>u</w:t>
      </w:r>
      <w:r w:rsidRPr="00DF24CD">
        <w:rPr>
          <w:rFonts w:ascii="Calibri" w:eastAsia="Calibri" w:hAnsi="Calibri" w:cs="Arial"/>
        </w:rPr>
        <w:t xml:space="preserve"> vzájomnej koordinácie medzi Operačným programom Integrovaná infraštruktúra (2014</w:t>
      </w:r>
      <w:r>
        <w:rPr>
          <w:rFonts w:cs="Arial"/>
        </w:rPr>
        <w:t xml:space="preserve"> – </w:t>
      </w:r>
      <w:r w:rsidRPr="00DF24CD">
        <w:rPr>
          <w:rFonts w:ascii="Calibri" w:eastAsia="Calibri" w:hAnsi="Calibri" w:cs="Arial"/>
        </w:rPr>
        <w:t>2020) a Programom rozvoja vidieka SR 2014 – 2020</w:t>
      </w:r>
      <w:r>
        <w:rPr>
          <w:rFonts w:cs="Arial"/>
        </w:rPr>
        <w:t>“</w:t>
      </w:r>
      <w:r w:rsidRPr="00DF24CD">
        <w:rPr>
          <w:rFonts w:cs="Arial"/>
        </w:rPr>
        <w:t>):</w:t>
      </w:r>
    </w:p>
    <w:p w:rsidR="00612BEF" w:rsidRPr="00913910" w:rsidRDefault="00612BEF" w:rsidP="00612BEF">
      <w:pPr>
        <w:pStyle w:val="Odsekzoznamu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Calibri" w:hAnsi="Calibri" w:cs="Arial"/>
        </w:rPr>
      </w:pPr>
      <w:r w:rsidRPr="00DF24CD">
        <w:rPr>
          <w:rFonts w:ascii="Calibri" w:hAnsi="Calibri" w:cs="Arial"/>
        </w:rPr>
        <w:t>Výstavba národných regionálnych sietí na báze optických káblov do spádových oblastí v rámci bielych a šedých miest,</w:t>
      </w:r>
      <w:r w:rsidRPr="00DF24CD">
        <w:rPr>
          <w:rFonts w:ascii="Calibri" w:eastAsia="MS Mincho" w:hAnsi="Calibri" w:cs="Arial"/>
          <w:lang w:val="en-US"/>
        </w:rPr>
        <w:t xml:space="preserve"> </w:t>
      </w:r>
      <w:r w:rsidRPr="00DF24CD">
        <w:rPr>
          <w:rFonts w:ascii="Calibri" w:hAnsi="Calibri" w:cs="Arial"/>
        </w:rPr>
        <w:t>ktoré zabezpečia prepojenie rozvinutej chrbticovej siete s lokálnymi prístupovými sieťami;</w:t>
      </w:r>
    </w:p>
    <w:p w:rsidR="00612BEF" w:rsidRPr="00913910" w:rsidRDefault="00612BEF" w:rsidP="00612BEF">
      <w:pPr>
        <w:pStyle w:val="Odsekzoznamu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Calibri" w:hAnsi="Calibri" w:cs="Arial"/>
        </w:rPr>
      </w:pPr>
      <w:r w:rsidRPr="00DF24CD">
        <w:rPr>
          <w:rFonts w:ascii="Calibri" w:hAnsi="Calibri" w:cs="Arial"/>
        </w:rPr>
        <w:lastRenderedPageBreak/>
        <w:t xml:space="preserve">Výstavba národných regionálnych sietí založených na </w:t>
      </w:r>
      <w:proofErr w:type="spellStart"/>
      <w:r w:rsidRPr="00DF24CD">
        <w:rPr>
          <w:rFonts w:ascii="Calibri" w:hAnsi="Calibri" w:cs="Arial"/>
        </w:rPr>
        <w:t>rádioreleových</w:t>
      </w:r>
      <w:proofErr w:type="spellEnd"/>
      <w:r w:rsidRPr="00DF24CD">
        <w:rPr>
          <w:rFonts w:ascii="Calibri" w:hAnsi="Calibri" w:cs="Arial"/>
        </w:rPr>
        <w:t xml:space="preserve"> spojoch;</w:t>
      </w:r>
    </w:p>
    <w:p w:rsidR="00612BEF" w:rsidRPr="00913910" w:rsidRDefault="00612BEF" w:rsidP="00612BEF">
      <w:pPr>
        <w:pStyle w:val="Odsekzoznamu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Calibri" w:hAnsi="Calibri" w:cs="Arial"/>
        </w:rPr>
      </w:pPr>
      <w:r w:rsidRPr="00DF24CD">
        <w:rPr>
          <w:rFonts w:ascii="Calibri" w:hAnsi="Calibri" w:cs="Arial"/>
        </w:rPr>
        <w:t>Zabezpečenie analytických prác;</w:t>
      </w:r>
    </w:p>
    <w:p w:rsidR="00612BEF" w:rsidRPr="00913910" w:rsidRDefault="00612BEF" w:rsidP="00612BEF">
      <w:pPr>
        <w:pStyle w:val="Odsekzoznamu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Calibri" w:hAnsi="Calibri" w:cs="Arial"/>
        </w:rPr>
      </w:pPr>
      <w:r w:rsidRPr="00DF24CD">
        <w:rPr>
          <w:rFonts w:ascii="Calibri" w:hAnsi="Calibri" w:cs="Arial"/>
        </w:rPr>
        <w:t>Koordinácia výstavby sietí;</w:t>
      </w:r>
    </w:p>
    <w:p w:rsidR="00612BEF" w:rsidRDefault="00612BEF" w:rsidP="00612BEF">
      <w:pPr>
        <w:pStyle w:val="Odsekzoznamu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Calibri" w:hAnsi="Calibri" w:cs="Arial"/>
          <w:b/>
        </w:rPr>
      </w:pPr>
      <w:r w:rsidRPr="00DF24CD">
        <w:rPr>
          <w:rFonts w:ascii="Calibri" w:hAnsi="Calibri" w:cs="Arial"/>
          <w:b/>
        </w:rPr>
        <w:t>Budovanie prístupových sietí s technologickou neutralitou v oblastiach zlyhania trhu (oblasti, ktoré pre poskytovateľov širokopásmových služieb nie sú dostatočne ekonomicky zaujímavé ani po vybudovaní regionálnej siete štátom) prostredníctvom dopytových projektov a návratných finančných nástrojov.</w:t>
      </w:r>
    </w:p>
    <w:p w:rsidR="00612BEF" w:rsidRDefault="00612BEF" w:rsidP="00612BEF">
      <w:pPr>
        <w:spacing w:after="0" w:line="240" w:lineRule="auto"/>
        <w:jc w:val="both"/>
        <w:rPr>
          <w:rFonts w:cs="Arial"/>
        </w:rPr>
      </w:pPr>
      <w:r w:rsidRPr="00DF24CD">
        <w:rPr>
          <w:rFonts w:cs="Arial"/>
        </w:rPr>
        <w:t xml:space="preserve">Komplementárne k aktivitám OPII PO7 v súvislosti so zavádzaním širokopásmového internetu budú realizované aj aktivity PRV SR 2014 – 2020. </w:t>
      </w:r>
      <w:r w:rsidRPr="00DB7D91">
        <w:rPr>
          <w:b/>
        </w:rPr>
        <w:t>PRV SR 2014 – 2020 bude realizovať dopytové projekty pre budovanie prístupových sietí v jednotlivých obciach (do 500 obyvateľov), ktoré spadajú do bielych miest.</w:t>
      </w:r>
      <w:r w:rsidRPr="00DB7D91">
        <w:rPr>
          <w:rFonts w:eastAsia="Times New Roman" w:cs="Times New Roman"/>
          <w:color w:val="000000"/>
          <w:lang w:eastAsia="sk-SK"/>
        </w:rPr>
        <w:t xml:space="preserve"> </w:t>
      </w:r>
      <w:r w:rsidRPr="00DF24CD">
        <w:rPr>
          <w:rFonts w:cs="Arial"/>
        </w:rPr>
        <w:t>Aktivity v rámci tohto opatrenia PRV SR 2014 - 2020 komplementárne doplnia operácie v rámci PO7 OPII a prispejú tak k cieľu 100% pokrytia širokopásmovým internetom.</w:t>
      </w:r>
    </w:p>
    <w:p w:rsidR="00612BEF" w:rsidRDefault="00612BEF" w:rsidP="00612BEF">
      <w:pPr>
        <w:spacing w:after="200" w:line="276" w:lineRule="auto"/>
        <w:jc w:val="both"/>
      </w:pPr>
      <w:r w:rsidRPr="00C34C74">
        <w:t xml:space="preserve">Samotné budovanie pevnej širokopásmovej infraštruktúry, bude realizované v rámci programového obdobia 2014 – 2020. </w:t>
      </w:r>
    </w:p>
    <w:p w:rsidR="00612BEF" w:rsidRPr="00496D3E" w:rsidRDefault="00612BEF" w:rsidP="00612BEF">
      <w:pPr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496D3E">
        <w:rPr>
          <w:rFonts w:eastAsia="Times New Roman" w:cs="Times New Roman"/>
          <w:color w:val="000000"/>
          <w:lang w:eastAsia="sk-SK"/>
        </w:rPr>
        <w:t xml:space="preserve">Keďže zoznam bielych miest v SR (z r. 2011) už nie je aktuálny, od </w:t>
      </w:r>
      <w:r>
        <w:rPr>
          <w:rFonts w:eastAsia="Times New Roman" w:cs="Times New Roman"/>
          <w:color w:val="000000"/>
          <w:lang w:eastAsia="sk-SK"/>
        </w:rPr>
        <w:t>0</w:t>
      </w:r>
      <w:r w:rsidRPr="00496D3E">
        <w:rPr>
          <w:rFonts w:eastAsia="Times New Roman" w:cs="Times New Roman"/>
          <w:color w:val="000000"/>
          <w:lang w:eastAsia="sk-SK"/>
        </w:rPr>
        <w:t>1.</w:t>
      </w:r>
      <w:r>
        <w:rPr>
          <w:rFonts w:eastAsia="Times New Roman" w:cs="Times New Roman"/>
          <w:color w:val="000000"/>
          <w:lang w:eastAsia="sk-SK"/>
        </w:rPr>
        <w:t>0</w:t>
      </w:r>
      <w:r w:rsidRPr="00496D3E">
        <w:rPr>
          <w:rFonts w:eastAsia="Times New Roman" w:cs="Times New Roman"/>
          <w:color w:val="000000"/>
          <w:lang w:eastAsia="sk-SK"/>
        </w:rPr>
        <w:t xml:space="preserve">1. 2013 prebieha a v súčasnosti sa dokončuje </w:t>
      </w:r>
      <w:r w:rsidRPr="00496D3E">
        <w:rPr>
          <w:rFonts w:eastAsia="Times New Roman" w:cs="Times New Roman"/>
          <w:b/>
          <w:bCs/>
          <w:color w:val="000000"/>
          <w:lang w:eastAsia="sk-SK"/>
        </w:rPr>
        <w:t xml:space="preserve">mapovanie </w:t>
      </w:r>
      <w:proofErr w:type="spellStart"/>
      <w:r w:rsidRPr="00496D3E">
        <w:rPr>
          <w:rFonts w:eastAsia="Times New Roman" w:cs="Times New Roman"/>
          <w:b/>
          <w:bCs/>
          <w:color w:val="000000"/>
          <w:lang w:eastAsia="sk-SK"/>
        </w:rPr>
        <w:t>klastrov</w:t>
      </w:r>
      <w:proofErr w:type="spellEnd"/>
      <w:r w:rsidRPr="00496D3E">
        <w:rPr>
          <w:rFonts w:eastAsia="Times New Roman" w:cs="Times New Roman"/>
          <w:b/>
          <w:bCs/>
          <w:color w:val="000000"/>
          <w:lang w:eastAsia="sk-SK"/>
        </w:rPr>
        <w:t xml:space="preserve"> „bielych miest“</w:t>
      </w:r>
      <w:r w:rsidRPr="00496D3E">
        <w:rPr>
          <w:rFonts w:eastAsia="Times New Roman" w:cs="Times New Roman"/>
          <w:color w:val="000000"/>
          <w:lang w:eastAsia="sk-SK"/>
        </w:rPr>
        <w:t xml:space="preserve"> a príprava podkladov pre aktualizáciu Analýzy pre implementáciu národných projektov. Tento projekt „Zabezpečenie projektovo inžinierskej dokumentácie k projektu vybudovania základnej širokopásmovej infraštruktúry dotovanej z verejných zdrojov v „bielych miestach“ Slovenska“ sa realizuje v rámci  PO3 zo súčasného Operačného programu Informatizácia spoločnosti na podporu rozvoja tzv. bielych miest (oblasti, kde nie sú dostupné širokopásmové služby) prostredníctvom Národnej agentúry pre sieťové a elektronické služby (NASES) (- prijímateľ NFP). Pre ďalšiu informatizáciu spoločnosti SR je dôležité aj zlepšovanie prístupnosti obcí k širokopásmovému internetu, čím sa zlepší tiež prístupnosť občanov SR k službám </w:t>
      </w:r>
      <w:proofErr w:type="spellStart"/>
      <w:r w:rsidRPr="00496D3E">
        <w:rPr>
          <w:rFonts w:eastAsia="Times New Roman" w:cs="Times New Roman"/>
          <w:color w:val="000000"/>
          <w:lang w:eastAsia="sk-SK"/>
        </w:rPr>
        <w:t>eGovernmentu</w:t>
      </w:r>
      <w:proofErr w:type="spellEnd"/>
      <w:r w:rsidRPr="00496D3E">
        <w:rPr>
          <w:rFonts w:eastAsia="Times New Roman" w:cs="Times New Roman"/>
          <w:color w:val="000000"/>
          <w:lang w:eastAsia="sk-SK"/>
        </w:rPr>
        <w:t xml:space="preserve">. </w:t>
      </w:r>
    </w:p>
    <w:p w:rsidR="00612BEF" w:rsidRDefault="00612BEF"/>
    <w:p w:rsidR="000844C8" w:rsidRPr="000844C8" w:rsidRDefault="000844C8" w:rsidP="000844C8">
      <w:pPr>
        <w:pStyle w:val="Odsekzoznamu"/>
        <w:numPr>
          <w:ilvl w:val="0"/>
          <w:numId w:val="1"/>
        </w:numPr>
        <w:spacing w:before="0" w:after="200" w:line="240" w:lineRule="auto"/>
        <w:jc w:val="both"/>
        <w:rPr>
          <w:b/>
        </w:rPr>
      </w:pPr>
      <w:r w:rsidRPr="000844C8">
        <w:rPr>
          <w:b/>
        </w:rPr>
        <w:t>Výskum a inovácie</w:t>
      </w:r>
    </w:p>
    <w:p w:rsidR="000844C8" w:rsidRDefault="000844C8" w:rsidP="000844C8">
      <w:pPr>
        <w:spacing w:before="0" w:after="0" w:line="240" w:lineRule="atLeast"/>
        <w:jc w:val="both"/>
      </w:pPr>
      <w:r w:rsidRPr="00A2763B">
        <w:rPr>
          <w:rFonts w:eastAsia="Times New Roman" w:cs="Tahoma"/>
          <w:b/>
          <w:bCs/>
          <w:color w:val="000000"/>
          <w:lang w:eastAsia="sk-SK"/>
        </w:rPr>
        <w:t>Stratégi</w:t>
      </w:r>
      <w:r>
        <w:rPr>
          <w:rFonts w:eastAsia="Times New Roman" w:cs="Tahoma"/>
          <w:b/>
          <w:bCs/>
          <w:color w:val="000000"/>
          <w:lang w:eastAsia="sk-SK"/>
        </w:rPr>
        <w:t>a</w:t>
      </w:r>
      <w:r w:rsidRPr="00A2763B">
        <w:rPr>
          <w:rFonts w:eastAsia="Times New Roman" w:cs="Tahoma"/>
          <w:b/>
          <w:bCs/>
          <w:color w:val="000000"/>
          <w:lang w:eastAsia="sk-SK"/>
        </w:rPr>
        <w:t xml:space="preserve"> výskumu a inovácií pre inteligentnú špecializáciu SR</w:t>
      </w:r>
      <w:r>
        <w:rPr>
          <w:rFonts w:eastAsia="Times New Roman" w:cs="Tahoma"/>
          <w:color w:val="000000"/>
          <w:lang w:eastAsia="sk-SK"/>
        </w:rPr>
        <w:t xml:space="preserve"> (RIS3)</w:t>
      </w:r>
      <w:r w:rsidRPr="00A2763B">
        <w:rPr>
          <w:rFonts w:eastAsia="Times New Roman" w:cs="Tahoma"/>
          <w:color w:val="000000"/>
          <w:lang w:eastAsia="sk-SK"/>
        </w:rPr>
        <w:t xml:space="preserve"> </w:t>
      </w:r>
      <w:r>
        <w:rPr>
          <w:rFonts w:eastAsia="Times New Roman" w:cs="Tahoma"/>
          <w:color w:val="000000"/>
          <w:lang w:eastAsia="sk-SK"/>
        </w:rPr>
        <w:t>(</w:t>
      </w:r>
      <w:r w:rsidRPr="00A2763B">
        <w:rPr>
          <w:rFonts w:eastAsia="Times New Roman" w:cs="Tahoma"/>
          <w:color w:val="000000"/>
          <w:lang w:eastAsia="sk-SK"/>
        </w:rPr>
        <w:t>schvál</w:t>
      </w:r>
      <w:r>
        <w:rPr>
          <w:rFonts w:eastAsia="Times New Roman" w:cs="Tahoma"/>
          <w:color w:val="000000"/>
          <w:lang w:eastAsia="sk-SK"/>
        </w:rPr>
        <w:t>ená</w:t>
      </w:r>
      <w:r w:rsidRPr="00A2763B">
        <w:rPr>
          <w:rFonts w:eastAsia="Times New Roman" w:cs="Tahoma"/>
          <w:color w:val="000000"/>
          <w:lang w:eastAsia="sk-SK"/>
        </w:rPr>
        <w:t xml:space="preserve"> na rokovaní </w:t>
      </w:r>
      <w:r>
        <w:rPr>
          <w:rFonts w:eastAsia="Times New Roman" w:cs="Tahoma"/>
          <w:color w:val="000000"/>
          <w:lang w:eastAsia="sk-SK"/>
        </w:rPr>
        <w:t xml:space="preserve">vlády </w:t>
      </w:r>
      <w:r w:rsidRPr="00A2763B">
        <w:rPr>
          <w:rFonts w:eastAsia="Times New Roman" w:cs="Tahoma"/>
          <w:color w:val="000000"/>
          <w:lang w:eastAsia="sk-SK"/>
        </w:rPr>
        <w:t>SR dňa 13. 11. 2013 uznesením č. 665/2013</w:t>
      </w:r>
      <w:r>
        <w:rPr>
          <w:rFonts w:eastAsia="Times New Roman" w:cs="Tahoma"/>
          <w:color w:val="000000"/>
          <w:lang w:eastAsia="sk-SK"/>
        </w:rPr>
        <w:t>)</w:t>
      </w:r>
      <w:r>
        <w:rPr>
          <w:rStyle w:val="Odkaznapoznmkupodiarou"/>
          <w:rFonts w:eastAsia="Times New Roman" w:cs="Tahoma"/>
          <w:color w:val="000000"/>
          <w:lang w:eastAsia="sk-SK"/>
        </w:rPr>
        <w:footnoteReference w:id="1"/>
      </w:r>
      <w:r w:rsidRPr="003938DB">
        <w:rPr>
          <w:rFonts w:eastAsia="Times New Roman" w:cs="Tahoma"/>
          <w:color w:val="000000"/>
          <w:lang w:eastAsia="sk-SK"/>
        </w:rPr>
        <w:t xml:space="preserve"> </w:t>
      </w:r>
      <w:r>
        <w:rPr>
          <w:rFonts w:eastAsia="Times New Roman" w:cs="Tahoma"/>
          <w:color w:val="000000"/>
          <w:lang w:eastAsia="sk-SK"/>
        </w:rPr>
        <w:t>je</w:t>
      </w:r>
      <w:r w:rsidRPr="00DF24CD">
        <w:rPr>
          <w:rFonts w:eastAsia="Times New Roman" w:cs="Tahoma"/>
          <w:color w:val="000000"/>
          <w:lang w:eastAsia="sk-SK"/>
        </w:rPr>
        <w:t xml:space="preserve"> základný rámcový strategický dokument pre podporu výskumu a inovácií v programovacom období 2014 – 2020. </w:t>
      </w:r>
      <w:r>
        <w:rPr>
          <w:rFonts w:eastAsia="Times New Roman" w:cs="Tahoma"/>
          <w:color w:val="000000"/>
          <w:lang w:eastAsia="sk-SK"/>
        </w:rPr>
        <w:t>Tiež</w:t>
      </w:r>
      <w:r w:rsidRPr="00DF24CD">
        <w:rPr>
          <w:rFonts w:eastAsia="Times New Roman" w:cs="Tahoma"/>
          <w:color w:val="000000"/>
          <w:lang w:eastAsia="sk-SK"/>
        </w:rPr>
        <w:t xml:space="preserve"> je kľúčovým dokumentom, zameraným na udržateľný hospodársky rast a zvýšenie zamestnanosti na Slovensku prostredníctvom cielenej podpory výskumu a inovácií a dosiahnutia kritickej masy v jednotlivých strategických prioritách </w:t>
      </w:r>
      <w:r>
        <w:rPr>
          <w:rFonts w:eastAsia="Times New Roman" w:cs="Tahoma"/>
          <w:color w:val="000000"/>
          <w:lang w:eastAsia="sk-SK"/>
        </w:rPr>
        <w:t xml:space="preserve">so zohľadnením regionálnych špecifík ( </w:t>
      </w:r>
      <w:hyperlink r:id="rId7" w:history="1">
        <w:r w:rsidRPr="00226564">
          <w:rPr>
            <w:rStyle w:val="Hypertextovprepojenie"/>
            <w:rFonts w:eastAsia="Times New Roman" w:cs="Tahoma"/>
            <w:lang w:eastAsia="sk-SK"/>
          </w:rPr>
          <w:t>http://www.economy.gov.sk/</w:t>
        </w:r>
      </w:hyperlink>
      <w:r>
        <w:rPr>
          <w:rFonts w:eastAsia="Times New Roman" w:cs="Tahoma"/>
          <w:color w:val="000000"/>
          <w:lang w:eastAsia="sk-SK"/>
        </w:rPr>
        <w:t xml:space="preserve">  ). Jej ú</w:t>
      </w:r>
      <w:r w:rsidRPr="00A2763B">
        <w:rPr>
          <w:rFonts w:eastAsia="Times New Roman" w:cs="Tahoma"/>
          <w:color w:val="000000"/>
          <w:lang w:eastAsia="sk-SK"/>
        </w:rPr>
        <w:t xml:space="preserve">lohou </w:t>
      </w:r>
      <w:r>
        <w:rPr>
          <w:rFonts w:eastAsia="Times New Roman" w:cs="Tahoma"/>
          <w:color w:val="000000"/>
          <w:lang w:eastAsia="sk-SK"/>
        </w:rPr>
        <w:t>je</w:t>
      </w:r>
      <w:r w:rsidRPr="00A2763B">
        <w:rPr>
          <w:rFonts w:eastAsia="Times New Roman" w:cs="Tahoma"/>
          <w:color w:val="000000"/>
          <w:lang w:eastAsia="sk-SK"/>
        </w:rPr>
        <w:t xml:space="preserve"> </w:t>
      </w:r>
      <w:r>
        <w:rPr>
          <w:rFonts w:eastAsia="Times New Roman" w:cs="Tahoma"/>
          <w:color w:val="000000"/>
          <w:lang w:eastAsia="sk-SK"/>
        </w:rPr>
        <w:t>definovanie</w:t>
      </w:r>
      <w:r w:rsidRPr="00A2763B">
        <w:rPr>
          <w:rFonts w:eastAsia="Times New Roman" w:cs="Tahoma"/>
          <w:color w:val="000000"/>
          <w:lang w:eastAsia="sk-SK"/>
        </w:rPr>
        <w:t xml:space="preserve"> vízi</w:t>
      </w:r>
      <w:r>
        <w:rPr>
          <w:rFonts w:eastAsia="Times New Roman" w:cs="Tahoma"/>
          <w:color w:val="000000"/>
          <w:lang w:eastAsia="sk-SK"/>
        </w:rPr>
        <w:t>e</w:t>
      </w:r>
      <w:r w:rsidRPr="00A2763B">
        <w:rPr>
          <w:rFonts w:eastAsia="Times New Roman" w:cs="Tahoma"/>
          <w:color w:val="000000"/>
          <w:lang w:eastAsia="sk-SK"/>
        </w:rPr>
        <w:t>, cie</w:t>
      </w:r>
      <w:r>
        <w:rPr>
          <w:rFonts w:eastAsia="Times New Roman" w:cs="Tahoma"/>
          <w:color w:val="000000"/>
          <w:lang w:eastAsia="sk-SK"/>
        </w:rPr>
        <w:t>ľov</w:t>
      </w:r>
      <w:r w:rsidRPr="00A2763B">
        <w:rPr>
          <w:rFonts w:eastAsia="Times New Roman" w:cs="Tahoma"/>
          <w:color w:val="000000"/>
          <w:lang w:eastAsia="sk-SK"/>
        </w:rPr>
        <w:t xml:space="preserve"> a opatren</w:t>
      </w:r>
      <w:r>
        <w:rPr>
          <w:rFonts w:eastAsia="Times New Roman" w:cs="Tahoma"/>
          <w:color w:val="000000"/>
          <w:lang w:eastAsia="sk-SK"/>
        </w:rPr>
        <w:t>í s ohľadom na</w:t>
      </w:r>
      <w:r w:rsidRPr="00A2763B">
        <w:rPr>
          <w:rFonts w:eastAsia="Times New Roman" w:cs="Tahoma"/>
          <w:color w:val="000000"/>
          <w:lang w:eastAsia="sk-SK"/>
        </w:rPr>
        <w:t xml:space="preserve"> princípy inteligentného, udržateľného a </w:t>
      </w:r>
      <w:proofErr w:type="spellStart"/>
      <w:r w:rsidRPr="00A2763B">
        <w:rPr>
          <w:rFonts w:eastAsia="Times New Roman" w:cs="Tahoma"/>
          <w:color w:val="000000"/>
          <w:lang w:eastAsia="sk-SK"/>
        </w:rPr>
        <w:t>inkluzívneho</w:t>
      </w:r>
      <w:proofErr w:type="spellEnd"/>
      <w:r w:rsidRPr="00A2763B">
        <w:rPr>
          <w:rFonts w:eastAsia="Times New Roman" w:cs="Tahoma"/>
          <w:color w:val="000000"/>
          <w:lang w:eastAsia="sk-SK"/>
        </w:rPr>
        <w:t xml:space="preserve"> rastu pre posilnenie konkurenčnej schopnosti SR</w:t>
      </w:r>
      <w:r w:rsidRPr="00DF24CD">
        <w:rPr>
          <w:rFonts w:eastAsia="Times New Roman" w:cs="Tahoma"/>
          <w:color w:val="000000"/>
          <w:lang w:eastAsia="sk-SK"/>
        </w:rPr>
        <w:t xml:space="preserve">. </w:t>
      </w:r>
      <w:r w:rsidRPr="00A2763B">
        <w:rPr>
          <w:rFonts w:eastAsia="Times New Roman" w:cs="Tahoma"/>
          <w:color w:val="000000"/>
          <w:lang w:eastAsia="sk-SK"/>
        </w:rPr>
        <w:t>RIS3 je základom pre tvorbu operačných programov</w:t>
      </w:r>
      <w:r>
        <w:rPr>
          <w:rFonts w:eastAsia="Times New Roman" w:cs="Tahoma"/>
          <w:color w:val="000000"/>
          <w:lang w:eastAsia="sk-SK"/>
        </w:rPr>
        <w:t>.</w:t>
      </w:r>
    </w:p>
    <w:p w:rsidR="000844C8" w:rsidRDefault="000844C8" w:rsidP="000844C8">
      <w:pPr>
        <w:spacing w:before="0" w:after="0" w:line="240" w:lineRule="atLeast"/>
        <w:jc w:val="both"/>
        <w:rPr>
          <w:rFonts w:eastAsia="Times New Roman" w:cs="Tahoma"/>
          <w:color w:val="000000"/>
          <w:lang w:eastAsia="sk-SK"/>
        </w:rPr>
      </w:pPr>
    </w:p>
    <w:p w:rsidR="000844C8" w:rsidRDefault="000844C8" w:rsidP="000844C8">
      <w:pPr>
        <w:spacing w:before="0" w:after="200" w:line="276" w:lineRule="auto"/>
        <w:jc w:val="both"/>
      </w:pPr>
      <w:r w:rsidRPr="00DF24CD">
        <w:t xml:space="preserve">V rámci </w:t>
      </w:r>
      <w:r w:rsidRPr="00DF24CD">
        <w:rPr>
          <w:b/>
        </w:rPr>
        <w:t>inovačných politík</w:t>
      </w:r>
      <w:r w:rsidRPr="00DF24CD">
        <w:t xml:space="preserve"> je </w:t>
      </w:r>
      <w:r>
        <w:t>PRV</w:t>
      </w:r>
      <w:r w:rsidRPr="00DF24CD">
        <w:t xml:space="preserve"> </w:t>
      </w:r>
      <w:r>
        <w:t xml:space="preserve">SR </w:t>
      </w:r>
      <w:r w:rsidRPr="00DF24CD">
        <w:t>doplnkovým programom k nosným európskym (HORIZON 2020 a COSME) a národným programom (operačný program Výskum a inovácie). OP Výskum a inovácie bude zameraný najmä na podporu infraštruktúry výskumu, vývoja a inovácií a podporu transferu technológií. Vedecko-výskumná a inovačná infraštruktúra by mala slúžiť ako základňa aj pre prenos poznatkov,</w:t>
      </w:r>
      <w:r>
        <w:t xml:space="preserve"> </w:t>
      </w:r>
      <w:r w:rsidRPr="00DF24CD">
        <w:t>technológií a inovácií v rámci pôdohospodárstva a rozvoja vidieka.</w:t>
      </w:r>
      <w:r>
        <w:t xml:space="preserve"> </w:t>
      </w:r>
      <w:r>
        <w:rPr>
          <w:rFonts w:cstheme="minorHAnsi"/>
          <w:bCs/>
        </w:rPr>
        <w:t>Inovácie</w:t>
      </w:r>
      <w:r w:rsidRPr="00333BD9">
        <w:rPr>
          <w:rFonts w:cstheme="minorHAnsi"/>
          <w:bCs/>
        </w:rPr>
        <w:t xml:space="preserve"> v</w:t>
      </w:r>
      <w:r>
        <w:rPr>
          <w:rFonts w:cstheme="minorHAnsi"/>
          <w:bCs/>
        </w:rPr>
        <w:t> </w:t>
      </w:r>
      <w:r w:rsidRPr="00333BD9">
        <w:rPr>
          <w:rFonts w:cstheme="minorHAnsi"/>
          <w:bCs/>
        </w:rPr>
        <w:t xml:space="preserve">poľnohospodárstve </w:t>
      </w:r>
      <w:r>
        <w:rPr>
          <w:rFonts w:cstheme="minorHAnsi"/>
          <w:bCs/>
        </w:rPr>
        <w:t>sú</w:t>
      </w:r>
      <w:r w:rsidRPr="00333BD9">
        <w:rPr>
          <w:rFonts w:cstheme="minorHAnsi"/>
          <w:bCs/>
        </w:rPr>
        <w:t xml:space="preserve"> horizontálnou prioritou politiky rozvoja vidieka č. 1. Inovácie by mali viesť k</w:t>
      </w:r>
      <w:r>
        <w:rPr>
          <w:rFonts w:cstheme="minorHAnsi"/>
          <w:bCs/>
        </w:rPr>
        <w:t> </w:t>
      </w:r>
      <w:r w:rsidRPr="00333BD9">
        <w:rPr>
          <w:rFonts w:cstheme="minorHAnsi"/>
          <w:bCs/>
        </w:rPr>
        <w:t>dosiahnutiu ďalších priorít a oblastí</w:t>
      </w:r>
      <w:r w:rsidRPr="00333BD9">
        <w:rPr>
          <w:rFonts w:cstheme="minorHAnsi"/>
        </w:rPr>
        <w:t xml:space="preserve"> </w:t>
      </w:r>
      <w:r w:rsidRPr="00333BD9">
        <w:rPr>
          <w:rFonts w:cstheme="minorHAnsi"/>
          <w:bCs/>
        </w:rPr>
        <w:t xml:space="preserve">zamerania. Inovácie by mali pomôcť dosiahnuť napríklad </w:t>
      </w:r>
      <w:r w:rsidR="00E3460B">
        <w:rPr>
          <w:rFonts w:cstheme="minorHAnsi"/>
          <w:bCs/>
        </w:rPr>
        <w:t xml:space="preserve">zvýšenie produktivity výrobných faktorov a pridanej hodnoty vo prvovýrobe a spracovaní, </w:t>
      </w:r>
      <w:r w:rsidR="00E3460B" w:rsidRPr="00333BD9">
        <w:rPr>
          <w:rFonts w:cstheme="minorHAnsi"/>
          <w:bCs/>
        </w:rPr>
        <w:t xml:space="preserve">lepšiu </w:t>
      </w:r>
      <w:r w:rsidR="00E3460B" w:rsidRPr="00333BD9">
        <w:rPr>
          <w:rFonts w:cstheme="minorHAnsi"/>
          <w:bCs/>
        </w:rPr>
        <w:lastRenderedPageBreak/>
        <w:t>integráciu výrobcov do potravinového reťazca</w:t>
      </w:r>
      <w:r w:rsidR="00E3460B">
        <w:rPr>
          <w:rFonts w:cstheme="minorHAnsi"/>
          <w:bCs/>
        </w:rPr>
        <w:t>,</w:t>
      </w:r>
      <w:r w:rsidR="00E3460B" w:rsidRPr="00333BD9">
        <w:rPr>
          <w:rFonts w:cstheme="minorHAnsi"/>
          <w:bCs/>
        </w:rPr>
        <w:t xml:space="preserve"> </w:t>
      </w:r>
      <w:r w:rsidRPr="00333BD9">
        <w:rPr>
          <w:rFonts w:cstheme="minorHAnsi"/>
          <w:bCs/>
        </w:rPr>
        <w:t>zlepšenie hospodárenia s pôdou, zvýšenie účinnosti zdrojov, obnovenie a zachovanie biodiverzity a</w:t>
      </w:r>
      <w:r>
        <w:rPr>
          <w:rFonts w:cstheme="minorHAnsi"/>
          <w:bCs/>
        </w:rPr>
        <w:t> </w:t>
      </w:r>
      <w:r w:rsidR="00E3460B">
        <w:rPr>
          <w:rFonts w:cstheme="minorHAnsi"/>
          <w:bCs/>
        </w:rPr>
        <w:t>ekosystémov</w:t>
      </w:r>
      <w:r w:rsidRPr="00333BD9">
        <w:rPr>
          <w:rFonts w:cstheme="minorHAnsi"/>
          <w:bCs/>
        </w:rPr>
        <w:t>.</w:t>
      </w:r>
    </w:p>
    <w:p w:rsidR="000844C8" w:rsidRDefault="000844C8" w:rsidP="000844C8">
      <w:pPr>
        <w:tabs>
          <w:tab w:val="left" w:pos="0"/>
        </w:tabs>
        <w:jc w:val="both"/>
      </w:pPr>
      <w:r w:rsidRPr="00DF24CD">
        <w:rPr>
          <w:b/>
        </w:rPr>
        <w:t xml:space="preserve">PRV </w:t>
      </w:r>
      <w:r>
        <w:rPr>
          <w:b/>
        </w:rPr>
        <w:t xml:space="preserve">SR </w:t>
      </w:r>
      <w:r w:rsidRPr="00DF24CD">
        <w:rPr>
          <w:b/>
        </w:rPr>
        <w:t>2014 – 2020</w:t>
      </w:r>
      <w:r>
        <w:t xml:space="preserve"> </w:t>
      </w:r>
      <w:r w:rsidRPr="00DF24CD">
        <w:t xml:space="preserve">bude stavať na existujúcej výskumnej infraštruktúre a formou spolupráce bude vytvárať prostredie na podporu inovácií, prenos poznatkov do praxe, transfer technológií, na podporu inkubátorov, </w:t>
      </w:r>
      <w:proofErr w:type="spellStart"/>
      <w:r w:rsidRPr="00DF24CD">
        <w:t>start-up</w:t>
      </w:r>
      <w:proofErr w:type="spellEnd"/>
      <w:r w:rsidRPr="00DF24CD">
        <w:t xml:space="preserve"> a </w:t>
      </w:r>
      <w:proofErr w:type="spellStart"/>
      <w:r w:rsidRPr="00DF24CD">
        <w:t>spin</w:t>
      </w:r>
      <w:proofErr w:type="spellEnd"/>
      <w:r w:rsidRPr="00DF24CD">
        <w:t xml:space="preserve"> </w:t>
      </w:r>
      <w:proofErr w:type="spellStart"/>
      <w:r w:rsidRPr="00DF24CD">
        <w:t>off</w:t>
      </w:r>
      <w:proofErr w:type="spellEnd"/>
      <w:r w:rsidRPr="00DF24CD">
        <w:t xml:space="preserve"> firiem a tvorbu a rozvoj </w:t>
      </w:r>
      <w:proofErr w:type="spellStart"/>
      <w:r w:rsidRPr="00DF24CD">
        <w:t>klastrov</w:t>
      </w:r>
      <w:proofErr w:type="spellEnd"/>
      <w:r w:rsidRPr="00DF24CD">
        <w:t xml:space="preserve"> vrátane pilotných inovačných aktivít. Tieto aktivity budú úzko prepojené na spoločenské výzvy EÚ a Dunajského regiónu v oblasti pôdohospodárstvo a rozvoj vidieka najmä prostredníctvom </w:t>
      </w:r>
      <w:r w:rsidRPr="00DF24CD">
        <w:rPr>
          <w:b/>
        </w:rPr>
        <w:t>Európskeho inovačného partnerstva (EIP).</w:t>
      </w:r>
      <w:r w:rsidRPr="004F2DC5">
        <w:t xml:space="preserve"> </w:t>
      </w:r>
      <w:r>
        <w:t xml:space="preserve">EIP by malo </w:t>
      </w:r>
      <w:r w:rsidRPr="004F2DC5">
        <w:t>slúžiť ako „spojka“ medzi podnikateľskou sférou (farmári, potravinári, lesníci, MSP), vedou, poradenstvom a ostatnými partnermi v regióne a zároveň ako „spojka“ na prepojenie zoskupení s podobnými cieľmi v rámci Európy. EIP je prostriedkom na otvorenie diskusií medzi podnikateľmi a vedecko-výskumnými kapacitami na jednej strane o ponuke výskumných organizácií pre prax a na druhej strane o reálnych potrebách malých a stredných podnikateľov.</w:t>
      </w:r>
    </w:p>
    <w:p w:rsidR="000844C8" w:rsidRDefault="000844C8" w:rsidP="000844C8">
      <w:r w:rsidRPr="00DF24CD">
        <w:rPr>
          <w:b/>
        </w:rPr>
        <w:t>Inovácie</w:t>
      </w:r>
      <w:r w:rsidRPr="004F2DC5">
        <w:t xml:space="preserve"> sú jednou z podmienok zlepšenia konkurencieschopnosti Európy. V rámci pôdohospodárstva a rozvoja vidieka sa týkajú všetkých priorít </w:t>
      </w:r>
      <w:r>
        <w:t>PRV 2014 – 2020</w:t>
      </w:r>
      <w:r w:rsidRPr="004F2DC5">
        <w:t xml:space="preserve">. V rámci priority 2 sa bude klásť dôraz najmä na inovácie smerujúce k inovatívnym technológiám a opatreniam zabezpečujúcich efektívnejšie využívanie pôdy. V rámci priority 3 sa inovácie týkajú najmä vývoja trhových noviniek (produktov) v oblasti potravín vrátane inovatívnych systémov zabezpečovania kvality (technológií a postupov). V oblasti priority 4 a 5 sa predpokladá postupné zavádzanie systémových inovácií v oblasti ochrany ekosystémov a zlepšenia stavu biodiverzity. Technologické a systémové inovácie </w:t>
      </w:r>
      <w:r>
        <w:t>vytvárajú priestor pre ich aplikovanie</w:t>
      </w:r>
      <w:r w:rsidRPr="004F2DC5">
        <w:t xml:space="preserve"> aj v rámci lesného hospodárstva zamerané okrem efektívneho hospodárenia v lese a zadržiavanie vody v krajine aj na znižovanie dopadov klimatických zmien. Priorita 6 otvára priestor pre inovácie v rámci integrovaných projektov regionálneho charakteru v oblastiach regionálnych zdravých potravín, efektívneho využívania prírodných zdrojov, malého a stredného podnikania prípadne sociálnych inovácií v rámci aktívneho starnutia. Novým prvkom podnecujúcim inovácie </w:t>
      </w:r>
      <w:r>
        <w:t>je</w:t>
      </w:r>
      <w:r w:rsidRPr="004F2DC5">
        <w:t xml:space="preserve"> spolupráca. Spolupráca horizontálna (na úrovni podnikov), vertikálna (</w:t>
      </w:r>
      <w:proofErr w:type="spellStart"/>
      <w:r>
        <w:t>prvovýrobca-spracovateľ-obchod</w:t>
      </w:r>
      <w:proofErr w:type="spellEnd"/>
      <w:r>
        <w:t>)</w:t>
      </w:r>
      <w:r w:rsidRPr="004F2DC5">
        <w:t xml:space="preserve"> alebo vedomostná (</w:t>
      </w:r>
      <w:proofErr w:type="spellStart"/>
      <w:r w:rsidRPr="004F2DC5">
        <w:t>MSP-výskum-poradenstvo</w:t>
      </w:r>
      <w:proofErr w:type="spellEnd"/>
      <w:r w:rsidRPr="004F2DC5">
        <w:t>) bude vytvárať podmienky na inovatívne myšlienky a ich realizáciu. Cieľom je motivovať viac podnikov k</w:t>
      </w:r>
      <w:r>
        <w:t> </w:t>
      </w:r>
      <w:r w:rsidRPr="004F2DC5">
        <w:t>inováciám</w:t>
      </w:r>
      <w:r>
        <w:t>,</w:t>
      </w:r>
      <w:r w:rsidRPr="004F2DC5">
        <w:t xml:space="preserve"> resp. vytvárať adekvátne predpoklady na dosiahnutie tohto cieľa.  </w:t>
      </w:r>
    </w:p>
    <w:p w:rsidR="00612BEF" w:rsidRDefault="00612BEF"/>
    <w:p w:rsidR="000F7807" w:rsidRDefault="000F7807" w:rsidP="000F7807">
      <w:pPr>
        <w:pStyle w:val="Nadpis3"/>
        <w:numPr>
          <w:ilvl w:val="0"/>
          <w:numId w:val="1"/>
        </w:numPr>
        <w:spacing w:before="0" w:after="0"/>
        <w:rPr>
          <w:rFonts w:asciiTheme="minorHAnsi" w:hAnsiTheme="minorHAnsi"/>
          <w:b/>
          <w:i w:val="0"/>
          <w:sz w:val="22"/>
          <w:szCs w:val="22"/>
        </w:rPr>
      </w:pPr>
      <w:proofErr w:type="spellStart"/>
      <w:r w:rsidRPr="00CB20EC">
        <w:rPr>
          <w:rFonts w:asciiTheme="minorHAnsi" w:hAnsiTheme="minorHAnsi"/>
          <w:b/>
          <w:i w:val="0"/>
          <w:sz w:val="22"/>
          <w:szCs w:val="22"/>
        </w:rPr>
        <w:t>Životné</w:t>
      </w:r>
      <w:proofErr w:type="spellEnd"/>
      <w:r w:rsidRPr="00CB20EC">
        <w:rPr>
          <w:rFonts w:asciiTheme="minorHAnsi" w:hAnsiTheme="minorHAnsi"/>
          <w:b/>
          <w:i w:val="0"/>
          <w:sz w:val="22"/>
          <w:szCs w:val="22"/>
        </w:rPr>
        <w:t xml:space="preserve"> </w:t>
      </w:r>
      <w:proofErr w:type="spellStart"/>
      <w:r w:rsidRPr="00CB20EC">
        <w:rPr>
          <w:rFonts w:asciiTheme="minorHAnsi" w:hAnsiTheme="minorHAnsi"/>
          <w:b/>
          <w:i w:val="0"/>
          <w:sz w:val="22"/>
          <w:szCs w:val="22"/>
        </w:rPr>
        <w:t>podmienky</w:t>
      </w:r>
      <w:proofErr w:type="spellEnd"/>
      <w:r w:rsidRPr="00CB20EC">
        <w:rPr>
          <w:rFonts w:asciiTheme="minorHAnsi" w:hAnsiTheme="minorHAnsi"/>
          <w:b/>
          <w:i w:val="0"/>
          <w:sz w:val="22"/>
          <w:szCs w:val="22"/>
        </w:rPr>
        <w:t xml:space="preserve"> </w:t>
      </w:r>
      <w:proofErr w:type="spellStart"/>
      <w:r w:rsidRPr="00CB20EC">
        <w:rPr>
          <w:rFonts w:asciiTheme="minorHAnsi" w:hAnsiTheme="minorHAnsi"/>
          <w:b/>
          <w:i w:val="0"/>
          <w:sz w:val="22"/>
          <w:szCs w:val="22"/>
        </w:rPr>
        <w:t>zvierat</w:t>
      </w:r>
      <w:proofErr w:type="spellEnd"/>
      <w:r w:rsidRPr="00CB20EC">
        <w:rPr>
          <w:rFonts w:asciiTheme="minorHAnsi" w:hAnsiTheme="minorHAnsi"/>
          <w:b/>
          <w:i w:val="0"/>
          <w:sz w:val="22"/>
          <w:szCs w:val="22"/>
        </w:rPr>
        <w:t xml:space="preserve">  </w:t>
      </w:r>
    </w:p>
    <w:p w:rsidR="000F7807" w:rsidRDefault="000F7807" w:rsidP="000F7807">
      <w:pPr>
        <w:spacing w:after="0" w:line="240" w:lineRule="auto"/>
        <w:jc w:val="both"/>
        <w:rPr>
          <w:bCs/>
        </w:rPr>
      </w:pPr>
      <w:r w:rsidRPr="00DF24CD">
        <w:rPr>
          <w:bCs/>
          <w:iCs/>
        </w:rPr>
        <w:t>V</w:t>
      </w:r>
      <w:r w:rsidRPr="00DF24CD">
        <w:rPr>
          <w:b/>
          <w:bCs/>
          <w:iCs/>
        </w:rPr>
        <w:t> PRV SR 2007-2013</w:t>
      </w:r>
      <w:r>
        <w:rPr>
          <w:b/>
          <w:bCs/>
          <w:iCs/>
        </w:rPr>
        <w:t xml:space="preserve"> </w:t>
      </w:r>
      <w:r w:rsidRPr="00DF24CD">
        <w:rPr>
          <w:bCs/>
          <w:iCs/>
        </w:rPr>
        <w:t xml:space="preserve">sa </w:t>
      </w:r>
      <w:r>
        <w:rPr>
          <w:bCs/>
          <w:iCs/>
        </w:rPr>
        <w:t xml:space="preserve">podpora životných podmienok zvierat </w:t>
      </w:r>
      <w:r w:rsidRPr="009C3619">
        <w:rPr>
          <w:bCs/>
          <w:iCs/>
        </w:rPr>
        <w:t>realizovala</w:t>
      </w:r>
      <w:r>
        <w:rPr>
          <w:bCs/>
          <w:iCs/>
        </w:rPr>
        <w:t xml:space="preserve"> prostredníctvom </w:t>
      </w:r>
      <w:r w:rsidRPr="00CB20EC">
        <w:t>Opatreni</w:t>
      </w:r>
      <w:r>
        <w:t>a</w:t>
      </w:r>
      <w:r w:rsidRPr="00CB20EC">
        <w:t xml:space="preserve"> životné podmienky zvierat (215) </w:t>
      </w:r>
      <w:r>
        <w:t xml:space="preserve">a jeho príslušných </w:t>
      </w:r>
      <w:proofErr w:type="spellStart"/>
      <w:r>
        <w:t>podopatrení</w:t>
      </w:r>
      <w:proofErr w:type="spellEnd"/>
      <w:r>
        <w:t>.</w:t>
      </w:r>
      <w:r w:rsidRPr="00CB20EC">
        <w:t xml:space="preserve"> </w:t>
      </w:r>
      <w:r>
        <w:t xml:space="preserve">Nasledujúca tabuľka uvádza </w:t>
      </w:r>
      <w:r w:rsidRPr="00DF24CD">
        <w:rPr>
          <w:iCs/>
        </w:rPr>
        <w:t xml:space="preserve">kumulatívny prehľad platieb </w:t>
      </w:r>
      <w:proofErr w:type="spellStart"/>
      <w:r w:rsidRPr="00DF24CD">
        <w:rPr>
          <w:iCs/>
        </w:rPr>
        <w:t>op</w:t>
      </w:r>
      <w:proofErr w:type="spellEnd"/>
      <w:r w:rsidRPr="00DF24CD">
        <w:rPr>
          <w:iCs/>
        </w:rPr>
        <w:t>. 215 PRV SR 2007-2013 podľa druhov hospodárskych zvierat ku koncu r. 2013</w:t>
      </w:r>
      <w:r w:rsidRPr="00DF24CD">
        <w:rPr>
          <w:bCs/>
        </w:rPr>
        <w:t>.</w:t>
      </w:r>
    </w:p>
    <w:p w:rsidR="000F7807" w:rsidRDefault="000F7807" w:rsidP="000F7807">
      <w:pPr>
        <w:spacing w:before="0" w:after="0" w:line="240" w:lineRule="auto"/>
        <w:jc w:val="both"/>
        <w:rPr>
          <w:b/>
          <w:iCs/>
          <w:sz w:val="20"/>
          <w:szCs w:val="20"/>
        </w:rPr>
      </w:pPr>
    </w:p>
    <w:p w:rsidR="000F7807" w:rsidRDefault="000F7807" w:rsidP="000F7807">
      <w:pPr>
        <w:spacing w:before="0" w:after="0" w:line="240" w:lineRule="auto"/>
        <w:jc w:val="both"/>
        <w:rPr>
          <w:b/>
          <w:bCs/>
          <w:sz w:val="20"/>
          <w:szCs w:val="20"/>
        </w:rPr>
      </w:pPr>
      <w:r w:rsidRPr="00DF24CD">
        <w:rPr>
          <w:b/>
          <w:iCs/>
          <w:sz w:val="20"/>
          <w:szCs w:val="20"/>
        </w:rPr>
        <w:t xml:space="preserve">Kumulatívny prehľad platieb </w:t>
      </w:r>
      <w:proofErr w:type="spellStart"/>
      <w:r w:rsidRPr="00DF24CD">
        <w:rPr>
          <w:b/>
          <w:iCs/>
          <w:sz w:val="20"/>
          <w:szCs w:val="20"/>
        </w:rPr>
        <w:t>op</w:t>
      </w:r>
      <w:proofErr w:type="spellEnd"/>
      <w:r w:rsidRPr="00DF24CD">
        <w:rPr>
          <w:b/>
          <w:iCs/>
          <w:sz w:val="20"/>
          <w:szCs w:val="20"/>
        </w:rPr>
        <w:t>. 215</w:t>
      </w:r>
      <w:r>
        <w:rPr>
          <w:b/>
          <w:iCs/>
          <w:sz w:val="20"/>
          <w:szCs w:val="20"/>
        </w:rPr>
        <w:t xml:space="preserve"> PRV SR 2007-2013</w:t>
      </w:r>
      <w:r w:rsidRPr="00DF24CD">
        <w:rPr>
          <w:b/>
          <w:iCs/>
          <w:sz w:val="20"/>
          <w:szCs w:val="20"/>
        </w:rPr>
        <w:t xml:space="preserve"> podľa druhov hospodárskych zvierat ku koncu r. 2013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94"/>
        <w:gridCol w:w="1511"/>
        <w:gridCol w:w="1568"/>
        <w:gridCol w:w="1499"/>
      </w:tblGrid>
      <w:tr w:rsidR="000F7807" w:rsidRPr="001E156E" w:rsidTr="00201CCC">
        <w:trPr>
          <w:trHeight w:val="610"/>
        </w:trPr>
        <w:tc>
          <w:tcPr>
            <w:tcW w:w="4494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DF24CD">
              <w:rPr>
                <w:b/>
                <w:bCs/>
                <w:iCs/>
                <w:sz w:val="18"/>
                <w:szCs w:val="18"/>
              </w:rPr>
              <w:t>Druh hospodárskych zvierat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F24CD">
              <w:rPr>
                <w:b/>
                <w:bCs/>
                <w:iCs/>
                <w:sz w:val="18"/>
                <w:szCs w:val="18"/>
              </w:rPr>
              <w:t>Počet schválených žiadostí</w:t>
            </w:r>
          </w:p>
        </w:tc>
        <w:tc>
          <w:tcPr>
            <w:tcW w:w="1568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F24CD">
              <w:rPr>
                <w:b/>
                <w:bCs/>
                <w:iCs/>
                <w:sz w:val="18"/>
                <w:szCs w:val="18"/>
              </w:rPr>
              <w:t xml:space="preserve">Počet podporovaných </w:t>
            </w:r>
            <w:proofErr w:type="spellStart"/>
            <w:r w:rsidRPr="00DF24CD">
              <w:rPr>
                <w:b/>
                <w:bCs/>
                <w:iCs/>
                <w:sz w:val="18"/>
                <w:szCs w:val="18"/>
              </w:rPr>
              <w:t>poľn</w:t>
            </w:r>
            <w:proofErr w:type="spellEnd"/>
            <w:r w:rsidRPr="00DF24CD">
              <w:rPr>
                <w:b/>
                <w:bCs/>
                <w:iCs/>
                <w:sz w:val="18"/>
                <w:szCs w:val="18"/>
              </w:rPr>
              <w:t>. podnikov</w:t>
            </w:r>
          </w:p>
        </w:tc>
        <w:tc>
          <w:tcPr>
            <w:tcW w:w="1499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F24CD">
              <w:rPr>
                <w:b/>
                <w:bCs/>
                <w:iCs/>
                <w:sz w:val="18"/>
                <w:szCs w:val="18"/>
              </w:rPr>
              <w:t>Počet zmlúv</w:t>
            </w:r>
          </w:p>
        </w:tc>
      </w:tr>
      <w:tr w:rsidR="000F7807" w:rsidRPr="001E156E" w:rsidTr="00201CCC">
        <w:trPr>
          <w:cantSplit/>
          <w:trHeight w:hRule="exact" w:val="242"/>
        </w:trPr>
        <w:tc>
          <w:tcPr>
            <w:tcW w:w="4494" w:type="dxa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Teľatá (smernica 91/629/EHS)</w:t>
            </w:r>
          </w:p>
        </w:tc>
        <w:tc>
          <w:tcPr>
            <w:tcW w:w="1511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F7807" w:rsidRPr="001E156E" w:rsidTr="00201CCC">
        <w:trPr>
          <w:cantSplit/>
          <w:trHeight w:hRule="exact" w:val="274"/>
        </w:trPr>
        <w:tc>
          <w:tcPr>
            <w:tcW w:w="4494" w:type="dxa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Hovädzí dobytok iný ako teľatá</w:t>
            </w:r>
          </w:p>
        </w:tc>
        <w:tc>
          <w:tcPr>
            <w:tcW w:w="1511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241</w:t>
            </w:r>
          </w:p>
        </w:tc>
        <w:tc>
          <w:tcPr>
            <w:tcW w:w="1568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199</w:t>
            </w:r>
          </w:p>
        </w:tc>
        <w:tc>
          <w:tcPr>
            <w:tcW w:w="1499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208</w:t>
            </w:r>
          </w:p>
        </w:tc>
      </w:tr>
      <w:tr w:rsidR="000F7807" w:rsidRPr="001E156E" w:rsidTr="00201CCC">
        <w:trPr>
          <w:cantSplit/>
          <w:trHeight w:hRule="exact" w:val="292"/>
        </w:trPr>
        <w:tc>
          <w:tcPr>
            <w:tcW w:w="4494" w:type="dxa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Ošípané (smernica 91/630/EHS)</w:t>
            </w:r>
          </w:p>
        </w:tc>
        <w:tc>
          <w:tcPr>
            <w:tcW w:w="1511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52</w:t>
            </w:r>
          </w:p>
        </w:tc>
        <w:tc>
          <w:tcPr>
            <w:tcW w:w="1568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50</w:t>
            </w:r>
          </w:p>
        </w:tc>
        <w:tc>
          <w:tcPr>
            <w:tcW w:w="1499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93</w:t>
            </w:r>
          </w:p>
        </w:tc>
      </w:tr>
      <w:tr w:rsidR="000F7807" w:rsidRPr="001E156E" w:rsidTr="00201CCC">
        <w:trPr>
          <w:cantSplit/>
          <w:trHeight w:hRule="exact" w:val="282"/>
        </w:trPr>
        <w:tc>
          <w:tcPr>
            <w:tcW w:w="4494" w:type="dxa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Hydina / Vajcia</w:t>
            </w:r>
          </w:p>
        </w:tc>
        <w:tc>
          <w:tcPr>
            <w:tcW w:w="1511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37</w:t>
            </w:r>
          </w:p>
        </w:tc>
        <w:tc>
          <w:tcPr>
            <w:tcW w:w="1568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31</w:t>
            </w:r>
          </w:p>
        </w:tc>
        <w:tc>
          <w:tcPr>
            <w:tcW w:w="1499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32</w:t>
            </w:r>
          </w:p>
        </w:tc>
      </w:tr>
      <w:tr w:rsidR="000F7807" w:rsidRPr="001E156E" w:rsidTr="00201CCC">
        <w:trPr>
          <w:cantSplit/>
          <w:trHeight w:val="252"/>
        </w:trPr>
        <w:tc>
          <w:tcPr>
            <w:tcW w:w="4494" w:type="dxa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 xml:space="preserve">Iné zvieratá chované na </w:t>
            </w:r>
            <w:proofErr w:type="spellStart"/>
            <w:r w:rsidRPr="00DF24CD">
              <w:rPr>
                <w:sz w:val="18"/>
                <w:szCs w:val="18"/>
              </w:rPr>
              <w:t>poľn</w:t>
            </w:r>
            <w:proofErr w:type="spellEnd"/>
            <w:r w:rsidRPr="00DF24CD">
              <w:rPr>
                <w:sz w:val="18"/>
                <w:szCs w:val="18"/>
              </w:rPr>
              <w:t>. účely (smernica 98/58/ES)</w:t>
            </w:r>
          </w:p>
        </w:tc>
        <w:tc>
          <w:tcPr>
            <w:tcW w:w="1511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123</w:t>
            </w:r>
          </w:p>
        </w:tc>
        <w:tc>
          <w:tcPr>
            <w:tcW w:w="1568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124</w:t>
            </w:r>
          </w:p>
        </w:tc>
        <w:tc>
          <w:tcPr>
            <w:tcW w:w="1499" w:type="dxa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155</w:t>
            </w:r>
          </w:p>
        </w:tc>
      </w:tr>
      <w:tr w:rsidR="000F7807" w:rsidRPr="001E156E" w:rsidTr="00201CCC">
        <w:trPr>
          <w:trHeight w:val="142"/>
        </w:trPr>
        <w:tc>
          <w:tcPr>
            <w:tcW w:w="4494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F24CD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453</w:t>
            </w:r>
          </w:p>
        </w:tc>
        <w:tc>
          <w:tcPr>
            <w:tcW w:w="1568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404</w:t>
            </w:r>
          </w:p>
        </w:tc>
        <w:tc>
          <w:tcPr>
            <w:tcW w:w="1499" w:type="dxa"/>
            <w:shd w:val="clear" w:color="auto" w:fill="FFFFCC"/>
            <w:vAlign w:val="center"/>
          </w:tcPr>
          <w:p w:rsidR="000F7807" w:rsidRDefault="000F7807" w:rsidP="00201C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F24CD">
              <w:rPr>
                <w:sz w:val="18"/>
                <w:szCs w:val="18"/>
              </w:rPr>
              <w:t>488</w:t>
            </w:r>
          </w:p>
        </w:tc>
      </w:tr>
    </w:tbl>
    <w:p w:rsidR="000F7807" w:rsidRDefault="000F7807" w:rsidP="000F7807">
      <w:pPr>
        <w:spacing w:after="0" w:line="240" w:lineRule="auto"/>
        <w:jc w:val="both"/>
        <w:rPr>
          <w:i/>
          <w:iCs/>
          <w:sz w:val="18"/>
          <w:szCs w:val="18"/>
        </w:rPr>
      </w:pPr>
      <w:r w:rsidRPr="00DF24CD">
        <w:rPr>
          <w:i/>
          <w:iCs/>
          <w:sz w:val="18"/>
          <w:szCs w:val="18"/>
        </w:rPr>
        <w:lastRenderedPageBreak/>
        <w:t xml:space="preserve">Zdroj:  PPA </w:t>
      </w:r>
    </w:p>
    <w:p w:rsidR="000F7807" w:rsidRDefault="000F7807" w:rsidP="000F7807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0F7807" w:rsidRPr="00CB20EC" w:rsidRDefault="000F7807" w:rsidP="000F7807">
      <w:pPr>
        <w:jc w:val="both"/>
      </w:pPr>
      <w:r w:rsidRPr="00CB20EC">
        <w:t>Z priebehu implementácie opatrenia 215 vyplýva kumulatívne plnenie cieľových hodnôt ukazovateľa počet podporených poľnohospodárskych subjektov na 71,8 % (402 podnikov z cieleného počtu 560).</w:t>
      </w:r>
    </w:p>
    <w:p w:rsidR="000F7807" w:rsidRPr="000E300E" w:rsidRDefault="000F7807" w:rsidP="000F7807">
      <w:pPr>
        <w:jc w:val="both"/>
      </w:pPr>
      <w:r w:rsidRPr="00CB20EC">
        <w:t xml:space="preserve">V rámci 4. modifikácie súčasného PRV </w:t>
      </w:r>
      <w:r w:rsidRPr="000E300E">
        <w:t>bolo schválené zníženie  cieľových hodnôt ukazovateľov  na počet subjektov 360 a počet záväzkov 470. Je to spôsobené tým, že 129 subjektov nepožiadalo o prvú platbu, čím z opatrenia vystúpili. 36 mil. €, ktoré v rámci opatrenia už nemožno vyčerpať do AEP na vyfinancovanie rokov 2014 a 2015.</w:t>
      </w:r>
    </w:p>
    <w:p w:rsidR="000F7807" w:rsidRPr="000E300E" w:rsidRDefault="000F7807" w:rsidP="000F7807">
      <w:pPr>
        <w:jc w:val="both"/>
      </w:pPr>
      <w:r w:rsidRPr="000E300E">
        <w:t xml:space="preserve">Poučenie zo implementácie </w:t>
      </w:r>
      <w:r w:rsidRPr="00DF24CD">
        <w:rPr>
          <w:b/>
        </w:rPr>
        <w:t>PRV</w:t>
      </w:r>
      <w:r>
        <w:rPr>
          <w:b/>
        </w:rPr>
        <w:t xml:space="preserve"> SR</w:t>
      </w:r>
      <w:r w:rsidRPr="00DF24CD">
        <w:rPr>
          <w:b/>
        </w:rPr>
        <w:t xml:space="preserve"> 2007-2013</w:t>
      </w:r>
      <w:r w:rsidRPr="000E300E">
        <w:t xml:space="preserve"> bude premietnuté do nastavenia podmienok opatrenia v novom </w:t>
      </w:r>
      <w:r w:rsidRPr="00DF24CD">
        <w:rPr>
          <w:b/>
        </w:rPr>
        <w:t>PRV</w:t>
      </w:r>
      <w:r>
        <w:rPr>
          <w:b/>
        </w:rPr>
        <w:t xml:space="preserve"> SR</w:t>
      </w:r>
      <w:r w:rsidRPr="00DF24CD">
        <w:rPr>
          <w:b/>
        </w:rPr>
        <w:t xml:space="preserve"> 2014-2020</w:t>
      </w:r>
      <w:r w:rsidRPr="000E300E">
        <w:t xml:space="preserve"> má ťažiskovo smerovať </w:t>
      </w:r>
      <w:r w:rsidRPr="000E300E">
        <w:rPr>
          <w:b/>
          <w:bCs/>
        </w:rPr>
        <w:t>k podpore výkrmu určených kategórií HZ a hydiny</w:t>
      </w:r>
      <w:r w:rsidRPr="000E300E">
        <w:t xml:space="preserve"> a nepokračovať s </w:t>
      </w:r>
      <w:proofErr w:type="spellStart"/>
      <w:r w:rsidRPr="000E300E">
        <w:t>podopatreniami</w:t>
      </w:r>
      <w:proofErr w:type="spellEnd"/>
      <w:r w:rsidRPr="000E300E">
        <w:t>, o ktoré nebol prejavený záujem (napr. zlepšenie prirodzeného materského správania dojníc a pod.).</w:t>
      </w:r>
    </w:p>
    <w:p w:rsidR="000F7807" w:rsidRDefault="000F7807" w:rsidP="000F7807">
      <w:pPr>
        <w:jc w:val="both"/>
        <w:rPr>
          <w:i/>
        </w:rPr>
      </w:pPr>
      <w:r w:rsidRPr="000E300E">
        <w:t>Úspešnosť opatrenia bude vo veľkej miere závisieť od objektívne a dostatočne presne kalkulovanej</w:t>
      </w:r>
      <w:r w:rsidRPr="00CB20EC">
        <w:t xml:space="preserve"> výšky kompenzácie, ktorá by mala predstavovať dostatočnú motiváciu pre chovateľov, resp. prvovýrobcov ktorí sa doposiaľ nevenujú chovu HZ. Pozitívnym zistením je rastúci trend záujmu spotrebiteľov o mäso a mäsové výrobky z chovov AW, teda zo zvierat s menšou hladinou stresových hormónov a celkovo lepším zdravotným stavom.</w:t>
      </w:r>
    </w:p>
    <w:p w:rsidR="000F7807" w:rsidRPr="00CB20EC" w:rsidRDefault="000F7807" w:rsidP="000F7807">
      <w:pPr>
        <w:jc w:val="both"/>
      </w:pPr>
      <w:r>
        <w:rPr>
          <w:b/>
        </w:rPr>
        <w:t>V PRV SR 2014 – 2020 p</w:t>
      </w:r>
      <w:r w:rsidRPr="00DF24CD">
        <w:rPr>
          <w:b/>
        </w:rPr>
        <w:t>odpora pohody zvierat (</w:t>
      </w:r>
      <w:proofErr w:type="spellStart"/>
      <w:r w:rsidRPr="00DF24CD">
        <w:rPr>
          <w:b/>
        </w:rPr>
        <w:t>animal</w:t>
      </w:r>
      <w:proofErr w:type="spellEnd"/>
      <w:r w:rsidRPr="00DF24CD">
        <w:rPr>
          <w:b/>
        </w:rPr>
        <w:t xml:space="preserve"> </w:t>
      </w:r>
      <w:proofErr w:type="spellStart"/>
      <w:r w:rsidRPr="00DF24CD">
        <w:rPr>
          <w:b/>
        </w:rPr>
        <w:t>welfare</w:t>
      </w:r>
      <w:proofErr w:type="spellEnd"/>
      <w:r w:rsidRPr="00DF24CD">
        <w:rPr>
          <w:b/>
        </w:rPr>
        <w:t xml:space="preserve"> - AW)</w:t>
      </w:r>
      <w:r w:rsidRPr="00CB20EC">
        <w:t xml:space="preserve"> sa v kontexte strategickej priority rezortu </w:t>
      </w:r>
      <w:r w:rsidRPr="00CB20EC">
        <w:rPr>
          <w:b/>
          <w:bCs/>
        </w:rPr>
        <w:t>podporiť oživenie a rozvoj domácej živočíšnej výroby</w:t>
      </w:r>
      <w:r w:rsidRPr="00CB20EC">
        <w:t xml:space="preserve"> radí medzi významné nástroje viazanej podpory a spoločne s podporou v rámci čl.18 nariadenia (investície do ŽV) sa očakáva jej vhodný synergický účinok na zvýšenú motiváciu prvovýrobcov venovať sa chovu hospodárskych zvierat.</w:t>
      </w:r>
    </w:p>
    <w:p w:rsidR="000F7807" w:rsidRPr="00CB20EC" w:rsidRDefault="000F7807" w:rsidP="000F7807">
      <w:pPr>
        <w:jc w:val="both"/>
      </w:pPr>
      <w:r w:rsidRPr="00CB20EC">
        <w:t xml:space="preserve">Podpora bude zameraná na zabezpečenie </w:t>
      </w:r>
      <w:proofErr w:type="spellStart"/>
      <w:r w:rsidRPr="00CB20EC">
        <w:t>nadštandarných</w:t>
      </w:r>
      <w:proofErr w:type="spellEnd"/>
      <w:r w:rsidRPr="00CB20EC">
        <w:t xml:space="preserve"> podmienok pre chov hospodárskych zvierat (hydina, ošípané, HD - dojnice). Dodržiavaním špecifických podmienok v rámci chovoch hospodárskych zvierat (HZ) sa prostredníctvom zlepšenej pohody, starostlivosti o zvieratá očakáva zníženie stresov a zlepšenie životných podmienok zvierat. Výška platby bude vypočítaná ako kompenzácia za vytvorenie a poskytovanie nadštandardných podmienok chovu HZ. </w:t>
      </w:r>
    </w:p>
    <w:p w:rsidR="000F7807" w:rsidRPr="00CB20EC" w:rsidRDefault="000F7807" w:rsidP="000F7807">
      <w:pPr>
        <w:jc w:val="both"/>
      </w:pPr>
      <w:r w:rsidRPr="00CB20EC">
        <w:t xml:space="preserve">Zároveň je však potrebné, osobitne v súvislosťou s ekonomickou krízou,  rešpektovať aj ekonomické hľadisko chovu HZ a snažiť sa v súlade s pravidlami trhu udržať prijateľné parametre efektivity chovu. Pri stanovení výšky podpory pre jednotlivé kategórie HZ bude zohľadnená úroveň požiadaviek </w:t>
      </w:r>
      <w:proofErr w:type="spellStart"/>
      <w:r w:rsidRPr="00CB20EC">
        <w:t>beseline</w:t>
      </w:r>
      <w:proofErr w:type="spellEnd"/>
      <w:r w:rsidRPr="00CB20EC">
        <w:t xml:space="preserve"> legislatívy a rozsah akým sa premietne požadovaný nadštandard do praxe chovateľov HZ .  Podpora bude v porovnaní s predchádzajúcim obdobím realizovaná na ročnej báze (zrušenie 5</w:t>
      </w:r>
      <w:r>
        <w:t>-</w:t>
      </w:r>
      <w:r w:rsidRPr="00CB20EC">
        <w:t xml:space="preserve"> ročných záväzkov).</w:t>
      </w:r>
    </w:p>
    <w:p w:rsidR="000F7807" w:rsidRPr="00DB3EFD" w:rsidRDefault="000F7807" w:rsidP="000F7807">
      <w:pPr>
        <w:jc w:val="both"/>
      </w:pPr>
      <w:r>
        <w:rPr>
          <w:u w:val="single"/>
        </w:rPr>
        <w:t>Z vyššie uvedených zistení vyplýva, že j</w:t>
      </w:r>
      <w:r w:rsidRPr="00EB7ABD">
        <w:rPr>
          <w:u w:val="single"/>
        </w:rPr>
        <w:t xml:space="preserve">e </w:t>
      </w:r>
      <w:r>
        <w:rPr>
          <w:u w:val="single"/>
        </w:rPr>
        <w:t xml:space="preserve">aj </w:t>
      </w:r>
      <w:r w:rsidRPr="00DF24CD">
        <w:rPr>
          <w:b/>
          <w:u w:val="single"/>
        </w:rPr>
        <w:t>n</w:t>
      </w:r>
      <w:r w:rsidRPr="00DB3EFD">
        <w:rPr>
          <w:b/>
          <w:bCs/>
        </w:rPr>
        <w:t xml:space="preserve">aďalej potrebné motivovať chovateľov k dodržiavaniu dobrých životných podmienok zvierat aj cestou poskytovania kompenzácií nákladov </w:t>
      </w:r>
      <w:r w:rsidRPr="00DB3EFD">
        <w:t xml:space="preserve">prostredníctvom </w:t>
      </w:r>
      <w:r>
        <w:t>PRV</w:t>
      </w:r>
      <w:r w:rsidRPr="00DB3EFD">
        <w:t xml:space="preserve"> v ďalšom období 2014 – 2020.</w:t>
      </w:r>
    </w:p>
    <w:p w:rsidR="000F7807" w:rsidRDefault="000F7807" w:rsidP="000F7807">
      <w:pPr>
        <w:spacing w:after="0" w:line="240" w:lineRule="auto"/>
        <w:jc w:val="both"/>
        <w:rPr>
          <w:b/>
        </w:rPr>
      </w:pPr>
      <w:r w:rsidRPr="000009C2">
        <w:rPr>
          <w:b/>
        </w:rPr>
        <w:t xml:space="preserve">Ďalšie o </w:t>
      </w:r>
      <w:proofErr w:type="spellStart"/>
      <w:r w:rsidRPr="000009C2">
        <w:rPr>
          <w:b/>
        </w:rPr>
        <w:t>dôvodnenia</w:t>
      </w:r>
      <w:proofErr w:type="spellEnd"/>
      <w:r w:rsidRPr="000009C2">
        <w:rPr>
          <w:b/>
        </w:rPr>
        <w:t xml:space="preserve"> pre zachovanie platieb za nadštandardné zabezpečovanie dobrých životných podmienok zvierat v slovenských chovoch hospodárskych zvierat v rámci PRV 2014 - 2020: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0F7807" w:rsidTr="00201CCC">
        <w:trPr>
          <w:trHeight w:val="5907"/>
        </w:trPr>
        <w:tc>
          <w:tcPr>
            <w:tcW w:w="9212" w:type="dxa"/>
          </w:tcPr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b/>
                <w:bCs/>
                <w:sz w:val="20"/>
                <w:szCs w:val="20"/>
              </w:rPr>
              <w:lastRenderedPageBreak/>
              <w:t>problematika dobrých životných podmienok zvierat sa stáva aj na Slovensku vecou verejného záujmu</w:t>
            </w:r>
            <w:r w:rsidRPr="007A73DF">
              <w:rPr>
                <w:sz w:val="20"/>
                <w:szCs w:val="20"/>
              </w:rPr>
              <w:t xml:space="preserve">, zvyšuje sa tlak mimovládnych organizácií a médií </w:t>
            </w:r>
            <w:r w:rsidRPr="007A73DF">
              <w:rPr>
                <w:sz w:val="20"/>
                <w:szCs w:val="20"/>
              </w:rPr>
              <w:br/>
              <w:t xml:space="preserve">na legislatívne riešenie tejto problematiky a na sankcionovanie porušení zákona chovateľmi; </w:t>
            </w:r>
            <w:r w:rsidRPr="007A73DF">
              <w:rPr>
                <w:b/>
                <w:bCs/>
                <w:sz w:val="20"/>
                <w:szCs w:val="20"/>
              </w:rPr>
              <w:t>zvyšuje sa skupina spotrebiteľov, ktorí sa zaujímajú o nákup výrobkov</w:t>
            </w:r>
            <w:r w:rsidRPr="007A73DF">
              <w:rPr>
                <w:sz w:val="20"/>
                <w:szCs w:val="20"/>
              </w:rPr>
              <w:t xml:space="preserve"> s osobitnými kvalitami a vlastnosťami vrátane znakov dobrých životných podmienok zvierat;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b/>
                <w:bCs/>
                <w:sz w:val="20"/>
                <w:szCs w:val="20"/>
              </w:rPr>
              <w:t>zvýšenie kvality domácich potravín živočíšneho pôvodu</w:t>
            </w:r>
            <w:r w:rsidRPr="007A73DF">
              <w:rPr>
                <w:sz w:val="20"/>
                <w:szCs w:val="20"/>
              </w:rPr>
              <w:t>, napr. bravčového hovädzieho a hydinového mäsa skvalitnením životných podmienok pre zvieratá;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b/>
                <w:bCs/>
                <w:sz w:val="20"/>
                <w:szCs w:val="20"/>
              </w:rPr>
              <w:t xml:space="preserve">zvyšovanie atraktívnosti fariem pre verejnosť </w:t>
            </w:r>
            <w:r w:rsidRPr="007A73DF">
              <w:rPr>
                <w:sz w:val="20"/>
                <w:szCs w:val="20"/>
              </w:rPr>
              <w:t>a tým zlepšovanie ich pozície najmä v prípade predaja z dvora a agroturistických aktivít;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sz w:val="20"/>
                <w:szCs w:val="20"/>
              </w:rPr>
              <w:t xml:space="preserve">poskytovaním kompenzačných </w:t>
            </w:r>
            <w:r w:rsidRPr="007A73DF">
              <w:rPr>
                <w:b/>
                <w:bCs/>
                <w:sz w:val="20"/>
                <w:szCs w:val="20"/>
              </w:rPr>
              <w:t>platieb eliminovanie nepriaznivého prístupu chovateľov k parametrom dobrých životných podmienok zvierat v zmysle ekonomickej záťaže</w:t>
            </w:r>
            <w:r w:rsidRPr="007A73DF">
              <w:rPr>
                <w:sz w:val="20"/>
                <w:szCs w:val="20"/>
              </w:rPr>
              <w:t xml:space="preserve"> a tým zníženej konkurencieschopnosti voči tretím krajinám ale aj ostatným členským štátom; 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sz w:val="20"/>
                <w:szCs w:val="20"/>
              </w:rPr>
              <w:t xml:space="preserve">nadštandardný prístup k životným podmienkam zvierat si vyžaduje zvýšené investície do chovov, čím sa podporuje žiaduca modernizácia chovov a tým </w:t>
            </w:r>
            <w:r w:rsidRPr="007A73DF">
              <w:rPr>
                <w:b/>
                <w:bCs/>
                <w:sz w:val="20"/>
                <w:szCs w:val="20"/>
              </w:rPr>
              <w:t>stimulácia trhu s poľnohospodárskymi stavbami a technológiami;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sz w:val="20"/>
                <w:szCs w:val="20"/>
              </w:rPr>
              <w:t xml:space="preserve">nadštandardný prístup k životným podmienkam zvierat si vyžaduje </w:t>
            </w:r>
            <w:r w:rsidRPr="007A73DF">
              <w:rPr>
                <w:b/>
                <w:bCs/>
                <w:sz w:val="20"/>
                <w:szCs w:val="20"/>
              </w:rPr>
              <w:t xml:space="preserve">zvýšené nároky </w:t>
            </w:r>
            <w:r w:rsidRPr="007A73DF">
              <w:rPr>
                <w:b/>
                <w:bCs/>
                <w:sz w:val="20"/>
                <w:szCs w:val="20"/>
              </w:rPr>
              <w:br/>
              <w:t xml:space="preserve">na pracovné sily </w:t>
            </w:r>
            <w:r w:rsidRPr="007A73DF">
              <w:rPr>
                <w:sz w:val="20"/>
                <w:szCs w:val="20"/>
              </w:rPr>
              <w:t xml:space="preserve">(najmä pri individuálnej manipulácii so zvieratami alebo pri znížení zaťaženia podlahovej plochy ustajňovacích priestorov), čo </w:t>
            </w:r>
            <w:r w:rsidRPr="007A73DF">
              <w:rPr>
                <w:b/>
                <w:bCs/>
                <w:sz w:val="20"/>
                <w:szCs w:val="20"/>
              </w:rPr>
              <w:t>podporuje celoročnú zamestnanosť najmä vidieckeho obyvateľstva;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sz w:val="20"/>
                <w:szCs w:val="20"/>
              </w:rPr>
              <w:t xml:space="preserve">motivácia chovateľov k nadštandardnému prístupu k životným podmienkam zvierat má </w:t>
            </w:r>
            <w:r w:rsidRPr="007A73DF">
              <w:rPr>
                <w:b/>
                <w:bCs/>
                <w:sz w:val="20"/>
                <w:szCs w:val="20"/>
              </w:rPr>
              <w:t>edukačný význam</w:t>
            </w:r>
            <w:r w:rsidRPr="007A73DF">
              <w:rPr>
                <w:sz w:val="20"/>
                <w:szCs w:val="20"/>
              </w:rPr>
              <w:t xml:space="preserve"> (dodržiavanie nadštandardu si vyžaduje ovládanie minimálnych - štandardných požiadaviek, ide o </w:t>
            </w:r>
            <w:r w:rsidRPr="007A73DF">
              <w:rPr>
                <w:b/>
                <w:bCs/>
                <w:sz w:val="20"/>
                <w:szCs w:val="20"/>
              </w:rPr>
              <w:t>zlepšenie vzťahu a celkového postoja chovateľa ku zvieratám ako k cítiacim bytostiam</w:t>
            </w:r>
            <w:r w:rsidRPr="007A73DF">
              <w:rPr>
                <w:sz w:val="20"/>
                <w:szCs w:val="20"/>
              </w:rPr>
              <w:t>);</w:t>
            </w:r>
          </w:p>
          <w:p w:rsidR="000F7807" w:rsidRDefault="000F7807" w:rsidP="000F7807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A73DF">
              <w:rPr>
                <w:b/>
                <w:bCs/>
                <w:sz w:val="20"/>
                <w:szCs w:val="20"/>
              </w:rPr>
              <w:t>zvyšovanie kvalifikácie zamestnancov</w:t>
            </w:r>
            <w:r w:rsidRPr="007A73DF">
              <w:rPr>
                <w:sz w:val="20"/>
                <w:szCs w:val="20"/>
              </w:rPr>
              <w:t xml:space="preserve"> v poľnohospodárstve v oblasti dobrých životných podmienok zvierat.</w:t>
            </w:r>
          </w:p>
        </w:tc>
      </w:tr>
    </w:tbl>
    <w:p w:rsidR="000F7807" w:rsidRDefault="000F7807"/>
    <w:p w:rsidR="00073831" w:rsidRPr="00073831" w:rsidRDefault="00073831" w:rsidP="000738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073831">
        <w:rPr>
          <w:rFonts w:cs="Calibri"/>
          <w:b/>
        </w:rPr>
        <w:t>Územia s extenzívnym poľnohospodárstvom</w:t>
      </w:r>
    </w:p>
    <w:p w:rsidR="00073831" w:rsidRPr="0059025C" w:rsidRDefault="00073831" w:rsidP="00073831">
      <w:pPr>
        <w:spacing w:after="0" w:line="240" w:lineRule="auto"/>
        <w:jc w:val="both"/>
        <w:rPr>
          <w:rFonts w:cs="Calibri"/>
        </w:rPr>
      </w:pPr>
      <w:r w:rsidRPr="0059025C">
        <w:rPr>
          <w:rFonts w:cs="Calibri"/>
        </w:rPr>
        <w:t xml:space="preserve">Úroveň </w:t>
      </w:r>
      <w:proofErr w:type="spellStart"/>
      <w:r w:rsidRPr="0059025C">
        <w:rPr>
          <w:rFonts w:cs="Calibri"/>
        </w:rPr>
        <w:t>dielčích</w:t>
      </w:r>
      <w:proofErr w:type="spellEnd"/>
      <w:r w:rsidRPr="0059025C">
        <w:rPr>
          <w:rFonts w:cs="Calibri"/>
        </w:rPr>
        <w:t xml:space="preserve"> ukazovateľov </w:t>
      </w:r>
      <w:r>
        <w:rPr>
          <w:rFonts w:cs="Calibri"/>
        </w:rPr>
        <w:t xml:space="preserve">sa pri </w:t>
      </w:r>
      <w:r w:rsidRPr="00DF24CD">
        <w:rPr>
          <w:rFonts w:cs="Calibri"/>
          <w:b/>
        </w:rPr>
        <w:t>územiach s extenzívnym poľnohospodárstvom</w:t>
      </w:r>
      <w:r>
        <w:rPr>
          <w:rFonts w:cs="Calibri"/>
        </w:rPr>
        <w:t xml:space="preserve"> v SR</w:t>
      </w:r>
      <w:r w:rsidRPr="0059025C">
        <w:rPr>
          <w:rFonts w:cs="Calibri"/>
        </w:rPr>
        <w:t xml:space="preserve"> diametrálne odlišuje z toho dôvodu, že rastlinnú výrobu významne ovplyvňuje vývoj klimatických podmienok na Slovensku a v Európe, ktoré sa následne premietajú vo výške úrod obilnín. Tento vplyv nevylúčili ani 3-ročné priemery. To sa prejavilo v medziročných rozdieloch, keď v rokoch 2008, 2009 a 2013 je vykazovaný podiel výmery pre extenzívne pestovanie plodín o polovicu nižší ako v r. 2007 a v rokoch 2010 – 2012. </w:t>
      </w:r>
    </w:p>
    <w:p w:rsidR="00073831" w:rsidRPr="00516748" w:rsidRDefault="00073831" w:rsidP="00073831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</w:rPr>
        <w:t>Podľa údajov ŠÚ SR v</w:t>
      </w:r>
      <w:r w:rsidRPr="0059025C">
        <w:rPr>
          <w:rFonts w:cs="Calibri"/>
        </w:rPr>
        <w:t xml:space="preserve">ýmera pôdy pre extenzívne spásanie dosiahla v r. 2013 na Slovensku 71,2% z celkovej využitej </w:t>
      </w:r>
      <w:proofErr w:type="spellStart"/>
      <w:r w:rsidRPr="0059025C">
        <w:rPr>
          <w:rFonts w:cs="Calibri"/>
        </w:rPr>
        <w:t>p.p</w:t>
      </w:r>
      <w:proofErr w:type="spellEnd"/>
      <w:r w:rsidRPr="0059025C">
        <w:rPr>
          <w:rFonts w:cs="Calibri"/>
        </w:rPr>
        <w:t>. Medziročne došlo v r. 2009 k zvýšeniu podielu pôdy pre extenzívny chov zvierat o 7% a to vplyvom znižovania počtu zvierat a súčasného zvyšovania výmery krmovín. Od r. 2009 už nedochádzalo k takému razantnému úbytku zvierat, dokonca v r. 2012 sa počet zvierat medziročne zvýšil. Pokračovalo však zvyšovanie výmer krmovín a teda aj k rastu podielu pôdy s extenzívnym hospodárením v živočíšnej výrobe. Trend zvyšovania výmer krmovín sa zastavil v r. 2012, čo sa prejavilo aj v miernom znížení podie</w:t>
      </w:r>
      <w:r>
        <w:rPr>
          <w:rFonts w:cs="Calibri"/>
        </w:rPr>
        <w:t>lu pôdy pre extenzívne spásanie.</w:t>
      </w:r>
    </w:p>
    <w:p w:rsidR="00073831" w:rsidRPr="0059025C" w:rsidRDefault="00073831" w:rsidP="00073831">
      <w:pPr>
        <w:spacing w:after="0" w:line="240" w:lineRule="auto"/>
        <w:rPr>
          <w:rFonts w:cs="Calibri"/>
          <w:i/>
        </w:rPr>
      </w:pPr>
    </w:p>
    <w:p w:rsidR="00073831" w:rsidRPr="0059025C" w:rsidRDefault="00073831" w:rsidP="00073831">
      <w:pPr>
        <w:spacing w:after="0" w:line="240" w:lineRule="auto"/>
        <w:rPr>
          <w:b/>
          <w:sz w:val="20"/>
          <w:szCs w:val="20"/>
        </w:rPr>
      </w:pPr>
      <w:r w:rsidRPr="0059025C">
        <w:rPr>
          <w:rStyle w:val="OdsekCalibri115Char"/>
          <w:rFonts w:cs="Calibri"/>
          <w:b/>
          <w:sz w:val="20"/>
          <w:szCs w:val="20"/>
        </w:rPr>
        <w:t xml:space="preserve">Tab. </w:t>
      </w:r>
      <w:proofErr w:type="spellStart"/>
      <w:r w:rsidRPr="0059025C">
        <w:rPr>
          <w:rFonts w:cs="Calibri"/>
          <w:b/>
          <w:sz w:val="20"/>
          <w:szCs w:val="20"/>
          <w:lang w:val="en-US"/>
        </w:rPr>
        <w:t>Územia</w:t>
      </w:r>
      <w:proofErr w:type="spellEnd"/>
      <w:r w:rsidRPr="0059025C">
        <w:rPr>
          <w:rFonts w:cs="Calibri"/>
          <w:b/>
          <w:sz w:val="20"/>
          <w:szCs w:val="20"/>
          <w:lang w:val="en-US"/>
        </w:rPr>
        <w:t xml:space="preserve"> s </w:t>
      </w:r>
      <w:proofErr w:type="spellStart"/>
      <w:r w:rsidRPr="0059025C">
        <w:rPr>
          <w:rFonts w:cs="Calibri"/>
          <w:b/>
          <w:sz w:val="20"/>
          <w:szCs w:val="20"/>
          <w:lang w:val="en-US"/>
        </w:rPr>
        <w:t>extenzívnym</w:t>
      </w:r>
      <w:proofErr w:type="spellEnd"/>
      <w:r w:rsidRPr="0059025C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59025C">
        <w:rPr>
          <w:rFonts w:cs="Calibri"/>
          <w:b/>
          <w:sz w:val="20"/>
          <w:szCs w:val="20"/>
          <w:lang w:val="en-US"/>
        </w:rPr>
        <w:t>poľnohospodárstvom</w:t>
      </w:r>
      <w:proofErr w:type="spellEnd"/>
      <w:r w:rsidRPr="0059025C">
        <w:rPr>
          <w:rFonts w:cs="Calibri"/>
          <w:b/>
          <w:sz w:val="20"/>
          <w:szCs w:val="20"/>
          <w:lang w:val="en-US"/>
        </w:rPr>
        <w:t xml:space="preserve"> v SR v </w:t>
      </w:r>
      <w:proofErr w:type="spellStart"/>
      <w:r w:rsidRPr="0059025C">
        <w:rPr>
          <w:rFonts w:cs="Calibri"/>
          <w:b/>
          <w:sz w:val="20"/>
          <w:szCs w:val="20"/>
          <w:lang w:val="en-US"/>
        </w:rPr>
        <w:t>rokoch</w:t>
      </w:r>
      <w:proofErr w:type="spellEnd"/>
      <w:r w:rsidRPr="0059025C">
        <w:rPr>
          <w:rFonts w:cs="Calibri"/>
          <w:b/>
          <w:sz w:val="20"/>
          <w:szCs w:val="20"/>
          <w:lang w:val="en-US"/>
        </w:rPr>
        <w:t xml:space="preserve"> 2007 – 2013 </w:t>
      </w:r>
    </w:p>
    <w:tbl>
      <w:tblPr>
        <w:tblW w:w="9132" w:type="dxa"/>
        <w:tblInd w:w="78" w:type="dxa"/>
        <w:tblLayout w:type="fixed"/>
        <w:tblLook w:val="0000"/>
      </w:tblPr>
      <w:tblGrid>
        <w:gridCol w:w="3259"/>
        <w:gridCol w:w="736"/>
        <w:gridCol w:w="734"/>
        <w:gridCol w:w="734"/>
        <w:gridCol w:w="734"/>
        <w:gridCol w:w="734"/>
        <w:gridCol w:w="733"/>
        <w:gridCol w:w="734"/>
        <w:gridCol w:w="734"/>
      </w:tblGrid>
      <w:tr w:rsidR="00073831" w:rsidRPr="003318B3" w:rsidTr="00201CCC">
        <w:trPr>
          <w:trHeight w:val="40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Územia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extenzívnym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poľnohospodárstvom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/ Areas of extensive agriculture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318B3">
              <w:rPr>
                <w:b/>
                <w:sz w:val="18"/>
                <w:szCs w:val="18"/>
                <w:lang w:val="en-US"/>
              </w:rPr>
              <w:t>Merná</w:t>
            </w:r>
            <w:proofErr w:type="spellEnd"/>
            <w:r w:rsidRPr="003318B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3318B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318B3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73831" w:rsidRPr="003318B3" w:rsidTr="00201CCC">
        <w:trPr>
          <w:trHeight w:val="56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výmery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poľnohospodárskej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pôdy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extenzívne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plodiny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na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ornej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pôde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 / % UAA for extensive arable crops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318B3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18,02%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11,80%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10,76%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21,94%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22,59%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19,73%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11,14%</w:t>
            </w:r>
          </w:p>
        </w:tc>
      </w:tr>
      <w:tr w:rsidR="00073831" w:rsidRPr="003318B3" w:rsidTr="00201CCC">
        <w:trPr>
          <w:trHeight w:val="38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výmery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poľnohospodárskej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pôdy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extenzívne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spásanie</w:t>
            </w:r>
            <w:proofErr w:type="spellEnd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 xml:space="preserve">  / % UAA for extensive </w:t>
            </w:r>
            <w:proofErr w:type="spellStart"/>
            <w:r w:rsidRPr="003318B3">
              <w:rPr>
                <w:rFonts w:cs="Calibri"/>
                <w:b/>
                <w:sz w:val="18"/>
                <w:szCs w:val="18"/>
                <w:lang w:val="en-US"/>
              </w:rPr>
              <w:t>grasing</w:t>
            </w:r>
            <w:proofErr w:type="spell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318B3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63,69%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64,89%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71,88%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71,88%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71,08%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70,25%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073831" w:rsidRPr="003318B3" w:rsidRDefault="00073831" w:rsidP="00201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18B3">
              <w:rPr>
                <w:sz w:val="18"/>
                <w:szCs w:val="18"/>
              </w:rPr>
              <w:t>71,18%</w:t>
            </w:r>
          </w:p>
        </w:tc>
      </w:tr>
    </w:tbl>
    <w:p w:rsidR="00073831" w:rsidRPr="0059025C" w:rsidRDefault="00073831" w:rsidP="00073831">
      <w:pPr>
        <w:spacing w:after="0" w:line="240" w:lineRule="auto"/>
        <w:rPr>
          <w:sz w:val="18"/>
          <w:szCs w:val="18"/>
        </w:rPr>
      </w:pPr>
      <w:r w:rsidRPr="0059025C">
        <w:rPr>
          <w:sz w:val="18"/>
          <w:szCs w:val="18"/>
        </w:rPr>
        <w:t xml:space="preserve">Prameň: ŠÚ SR (nakoľko </w:t>
      </w:r>
      <w:proofErr w:type="spellStart"/>
      <w:r w:rsidRPr="0059025C">
        <w:rPr>
          <w:sz w:val="18"/>
          <w:szCs w:val="18"/>
        </w:rPr>
        <w:t>Eurostat</w:t>
      </w:r>
      <w:proofErr w:type="spellEnd"/>
      <w:r w:rsidRPr="0059025C">
        <w:rPr>
          <w:sz w:val="18"/>
          <w:szCs w:val="18"/>
        </w:rPr>
        <w:t xml:space="preserve"> disponuje iba údajmi na úrovni NUTS II)</w:t>
      </w:r>
    </w:p>
    <w:p w:rsidR="00073831" w:rsidRDefault="00073831" w:rsidP="00073831">
      <w:pPr>
        <w:spacing w:after="0" w:line="240" w:lineRule="auto"/>
        <w:jc w:val="both"/>
        <w:rPr>
          <w:rFonts w:cs="Calibri"/>
          <w:i/>
        </w:rPr>
      </w:pPr>
    </w:p>
    <w:p w:rsidR="00760C33" w:rsidRPr="00760C33" w:rsidRDefault="00760C33" w:rsidP="00760C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  <w:r w:rsidRPr="00760C33">
        <w:rPr>
          <w:rFonts w:eastAsia="TimesNewRomanPS-BoldMT" w:cs="TimesNewRomanPS-BoldMT"/>
          <w:b/>
          <w:bCs/>
        </w:rPr>
        <w:t>Zdroje lesného reprodukčného materiálu (LRM)</w:t>
      </w:r>
    </w:p>
    <w:p w:rsidR="00760C33" w:rsidRDefault="00760C33" w:rsidP="00760C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Podľa </w:t>
      </w:r>
      <w:r w:rsidRPr="00DF24CD">
        <w:rPr>
          <w:rFonts w:eastAsia="TimesNewRomanPS-BoldMT" w:cs="TimesNewRomanPS-BoldMT"/>
          <w:bCs/>
        </w:rPr>
        <w:t>Spr</w:t>
      </w:r>
      <w:r>
        <w:rPr>
          <w:rFonts w:eastAsia="TimesNewRomanPS-BoldMT" w:cs="TimesNewRomanPS-BoldMT"/>
          <w:bCs/>
        </w:rPr>
        <w:t>ávy o lesnom hospodá</w:t>
      </w:r>
      <w:r w:rsidRPr="00DF24CD">
        <w:rPr>
          <w:rFonts w:eastAsia="TimesNewRomanPS-BoldMT" w:cs="TimesNewRomanPS-BoldMT"/>
          <w:bCs/>
        </w:rPr>
        <w:t>rstve v S</w:t>
      </w:r>
      <w:r>
        <w:rPr>
          <w:rFonts w:eastAsia="TimesNewRomanPS-BoldMT" w:cs="TimesNewRomanPS-BoldMT"/>
          <w:bCs/>
        </w:rPr>
        <w:t>R</w:t>
      </w:r>
      <w:r w:rsidRPr="00DF24CD">
        <w:rPr>
          <w:rFonts w:eastAsia="TimesNewRomanPS-BoldMT" w:cs="TimesNewRomanPS-BoldMT"/>
          <w:bCs/>
        </w:rPr>
        <w:t xml:space="preserve"> za rok 2012 (Zelen</w:t>
      </w:r>
      <w:r>
        <w:rPr>
          <w:rFonts w:eastAsia="TimesNewRomanPS-BoldMT" w:cs="TimesNewRomanPS-BoldMT"/>
          <w:bCs/>
        </w:rPr>
        <w:t>á správa, MPRV SR</w:t>
      </w:r>
      <w:r w:rsidRPr="00DF24CD">
        <w:rPr>
          <w:rFonts w:eastAsia="TimesNewRomanPS-BoldMT" w:cs="TimesNewRomanPS-BoldMT"/>
          <w:bCs/>
        </w:rPr>
        <w:t>,</w:t>
      </w:r>
      <w:r>
        <w:rPr>
          <w:rFonts w:eastAsia="TimesNewRomanPS-BoldMT" w:cs="TimesNewRomanPS-BoldMT"/>
          <w:bCs/>
        </w:rPr>
        <w:t xml:space="preserve"> </w:t>
      </w:r>
      <w:r w:rsidRPr="00DF24CD">
        <w:rPr>
          <w:rFonts w:eastAsia="TimesNewRomanPS-BoldMT" w:cs="TimesNewRomanPS-BoldMT"/>
          <w:bCs/>
        </w:rPr>
        <w:t>2013)</w:t>
      </w:r>
      <w:r>
        <w:rPr>
          <w:rFonts w:eastAsia="TimesNewRomanPS-BoldMT" w:cs="TimesNewRomanPS-BoldMT"/>
          <w:bCs/>
        </w:rPr>
        <w:t xml:space="preserve"> sa môže n</w:t>
      </w:r>
      <w:r>
        <w:rPr>
          <w:rFonts w:eastAsia="TimesNewRomanPSMT" w:cs="TimesNewRomanPSMT"/>
        </w:rPr>
        <w:t>a umelú</w:t>
      </w:r>
      <w:r w:rsidRPr="00DF24CD">
        <w:rPr>
          <w:rFonts w:eastAsia="TimesNewRomanPSMT" w:cs="TimesNewRomanPSMT"/>
        </w:rPr>
        <w:t xml:space="preserve"> obnovu lesa a </w:t>
      </w:r>
      <w:proofErr w:type="spellStart"/>
      <w:r w:rsidRPr="00DF24CD">
        <w:rPr>
          <w:rFonts w:eastAsia="TimesNewRomanPSMT" w:cs="TimesNewRomanPSMT"/>
        </w:rPr>
        <w:t>zaleso</w:t>
      </w:r>
      <w:proofErr w:type="spellEnd"/>
      <w:r w:rsidRPr="00DF24CD">
        <w:rPr>
          <w:rFonts w:eastAsia="TimesNewRomanPSMT" w:cs="TimesNewRomanPSMT"/>
        </w:rPr>
        <w:t xml:space="preserve"> materiálu (lesov a </w:t>
      </w:r>
      <w:proofErr w:type="spellStart"/>
      <w:r w:rsidRPr="00DF24CD">
        <w:rPr>
          <w:rFonts w:eastAsia="TimesNewRomanPSMT" w:cs="TimesNewRomanPSMT"/>
        </w:rPr>
        <w:t>systema</w:t>
      </w:r>
      <w:r>
        <w:rPr>
          <w:rFonts w:eastAsia="TimesNewRomanPSMT" w:cs="TimesNewRomanPSMT"/>
        </w:rPr>
        <w:t>ý</w:t>
      </w:r>
      <w:proofErr w:type="spellEnd"/>
      <w:r w:rsidRPr="00DF24CD">
        <w:rPr>
          <w:rFonts w:eastAsia="TimesNewRomanPSMT" w:cs="TimesNewRomanPSMT"/>
        </w:rPr>
        <w:t xml:space="preserve"> poch</w:t>
      </w:r>
      <w:r>
        <w:rPr>
          <w:rFonts w:eastAsia="TimesNewRomanPSMT" w:cs="TimesNewRomanPSMT"/>
        </w:rPr>
        <w:t>á</w:t>
      </w:r>
      <w:r w:rsidRPr="00DF24CD">
        <w:rPr>
          <w:rFonts w:eastAsia="TimesNewRomanPSMT" w:cs="TimesNewRomanPSMT"/>
        </w:rPr>
        <w:t>dza alebo bol</w:t>
      </w:r>
      <w:r>
        <w:rPr>
          <w:rFonts w:eastAsia="TimesNewRomanPSMT" w:cs="TimesNewRomanPSMT"/>
        </w:rPr>
        <w:t xml:space="preserve"> </w:t>
      </w:r>
      <w:r w:rsidRPr="00DF24CD">
        <w:rPr>
          <w:rFonts w:eastAsia="TimesNewRomanPSMT" w:cs="TimesNewRomanPSMT"/>
        </w:rPr>
        <w:t>dopestovan</w:t>
      </w:r>
      <w:r>
        <w:rPr>
          <w:rFonts w:eastAsia="TimesNewRomanPSMT" w:cs="TimesNewRomanPSMT"/>
        </w:rPr>
        <w:t>ý</w:t>
      </w:r>
      <w:r w:rsidRPr="00DF24CD">
        <w:rPr>
          <w:rFonts w:eastAsia="TimesNewRomanPSMT" w:cs="TimesNewRomanPSMT"/>
        </w:rPr>
        <w:t xml:space="preserve"> z uznan</w:t>
      </w:r>
      <w:r>
        <w:rPr>
          <w:rFonts w:eastAsia="TimesNewRomanPSMT" w:cs="TimesNewRomanPSMT"/>
        </w:rPr>
        <w:t>ý</w:t>
      </w:r>
      <w:r w:rsidRPr="00DF24CD">
        <w:rPr>
          <w:rFonts w:eastAsia="TimesNewRomanPSMT" w:cs="TimesNewRomanPSMT"/>
        </w:rPr>
        <w:t xml:space="preserve">ch zdrojov LRM. </w:t>
      </w:r>
      <w:proofErr w:type="spellStart"/>
      <w:r w:rsidRPr="00DF24CD">
        <w:rPr>
          <w:rFonts w:eastAsia="TimesNewRomanPSMT" w:cs="TimesNewRomanPSMT"/>
        </w:rPr>
        <w:t>Uznao</w:t>
      </w:r>
      <w:proofErr w:type="spellEnd"/>
      <w:r w:rsidRPr="00DF24CD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je </w:t>
      </w:r>
      <w:proofErr w:type="spellStart"/>
      <w:r w:rsidRPr="00DF24CD">
        <w:rPr>
          <w:rFonts w:eastAsia="TimesNewRomanPSMT" w:cs="TimesNewRomanPSMT"/>
        </w:rPr>
        <w:t>mo</w:t>
      </w:r>
      <w:proofErr w:type="spellEnd"/>
      <w:r w:rsidRPr="00DF24CD"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né</w:t>
      </w:r>
      <w:proofErr w:type="spellEnd"/>
      <w:r>
        <w:rPr>
          <w:rFonts w:eastAsia="TimesNewRomanPSMT" w:cs="TimesNewRomanPSMT"/>
        </w:rPr>
        <w:t xml:space="preserve"> lesný porast, výberový strom, semenný sad, klon, zmes klonov a</w:t>
      </w:r>
      <w:r w:rsidRPr="00DF24CD">
        <w:rPr>
          <w:rFonts w:eastAsia="TimesNewRomanPSMT" w:cs="TimesNewRomanPSMT"/>
        </w:rPr>
        <w:t>lebo</w:t>
      </w:r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multikloná</w:t>
      </w:r>
      <w:r w:rsidRPr="00DF24CD">
        <w:rPr>
          <w:rFonts w:eastAsia="TimesNewRomanPSMT" w:cs="TimesNewRomanPSMT"/>
        </w:rPr>
        <w:t>lnu</w:t>
      </w:r>
      <w:proofErr w:type="spellEnd"/>
      <w:r w:rsidRPr="00DF24CD">
        <w:rPr>
          <w:rFonts w:eastAsia="TimesNewRomanPSMT" w:cs="TimesNewRomanPSMT"/>
        </w:rPr>
        <w:t xml:space="preserve"> varietu a semenn</w:t>
      </w:r>
      <w:r>
        <w:rPr>
          <w:rFonts w:eastAsia="TimesNewRomanPSMT" w:cs="TimesNewRomanPSMT"/>
        </w:rPr>
        <w:t>ý</w:t>
      </w:r>
      <w:r w:rsidRPr="00DF24CD">
        <w:rPr>
          <w:rFonts w:eastAsia="TimesNewRomanPSMT" w:cs="TimesNewRomanPSMT"/>
        </w:rPr>
        <w:t xml:space="preserve"> zdroj (</w:t>
      </w:r>
      <w:r>
        <w:rPr>
          <w:rFonts w:eastAsia="TimesNewRomanPSMT" w:cs="TimesNewRomanPSMT"/>
        </w:rPr>
        <w:t xml:space="preserve">t. j. </w:t>
      </w:r>
      <w:r w:rsidRPr="00DF24CD">
        <w:rPr>
          <w:rFonts w:eastAsia="TimesNewRomanPSMT" w:cs="TimesNewRomanPSMT"/>
        </w:rPr>
        <w:t>stromy alebo porasty</w:t>
      </w:r>
      <w:r>
        <w:rPr>
          <w:rFonts w:eastAsia="TimesNewRomanPSMT" w:cs="TimesNewRomanPSMT"/>
        </w:rPr>
        <w:t xml:space="preserve"> lesných drevín mimo lesný</w:t>
      </w:r>
      <w:r w:rsidRPr="00DF24CD">
        <w:rPr>
          <w:rFonts w:eastAsia="TimesNewRomanPSMT" w:cs="TimesNewRomanPSMT"/>
        </w:rPr>
        <w:t xml:space="preserve">ch </w:t>
      </w:r>
      <w:r>
        <w:rPr>
          <w:rFonts w:eastAsia="TimesNewRomanPSMT" w:cs="TimesNewRomanPSMT"/>
        </w:rPr>
        <w:t>p</w:t>
      </w:r>
      <w:r w:rsidRPr="00DF24CD">
        <w:rPr>
          <w:rFonts w:eastAsia="TimesNewRomanPSMT" w:cs="TimesNewRomanPSMT"/>
        </w:rPr>
        <w:t>ozemkov).</w:t>
      </w:r>
      <w:r>
        <w:rPr>
          <w:rFonts w:eastAsia="TimesNewRomanPSMT" w:cs="TimesNewRomanPSMT"/>
        </w:rPr>
        <w:t xml:space="preserve"> V SR </w:t>
      </w:r>
      <w:proofErr w:type="spellStart"/>
      <w:r>
        <w:rPr>
          <w:rFonts w:eastAsia="TimesNewRomanPSMT" w:cs="TimesNewRomanPSMT"/>
        </w:rPr>
        <w:t>n</w:t>
      </w:r>
      <w:r w:rsidRPr="00DF24CD">
        <w:rPr>
          <w:rFonts w:eastAsia="TimesNewRomanPSMT" w:cs="TimesNewRomanPSMT"/>
        </w:rPr>
        <w:t>ajrozn</w:t>
      </w:r>
      <w:r>
        <w:rPr>
          <w:rFonts w:eastAsia="TimesNewRomanPSMT" w:cs="TimesNewRomanPSMT"/>
        </w:rPr>
        <w:t>í</w:t>
      </w:r>
      <w:r w:rsidRPr="00DF24CD">
        <w:rPr>
          <w:rFonts w:eastAsia="TimesNewRomanPSMT" w:cs="TimesNewRomanPSMT"/>
        </w:rPr>
        <w:t>renejn</w:t>
      </w:r>
      <w:r>
        <w:rPr>
          <w:rFonts w:eastAsia="TimesNewRomanPSMT" w:cs="TimesNewRomanPSMT"/>
        </w:rPr>
        <w:t>í</w:t>
      </w:r>
      <w:r w:rsidRPr="00DF24CD">
        <w:rPr>
          <w:rFonts w:eastAsia="TimesNewRomanPSMT" w:cs="TimesNewRomanPSMT"/>
        </w:rPr>
        <w:t>m</w:t>
      </w:r>
      <w:proofErr w:type="spellEnd"/>
      <w:r w:rsidRPr="00DF24CD">
        <w:rPr>
          <w:rFonts w:eastAsia="TimesNewRomanPSMT" w:cs="TimesNewRomanPSMT"/>
        </w:rPr>
        <w:t xml:space="preserve"> zdrojom LRM </w:t>
      </w:r>
      <w:r>
        <w:rPr>
          <w:rFonts w:eastAsia="TimesNewRomanPSMT" w:cs="TimesNewRomanPSMT"/>
        </w:rPr>
        <w:t>sú</w:t>
      </w:r>
      <w:r w:rsidRPr="00C513EC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u</w:t>
      </w:r>
      <w:r w:rsidRPr="00DF24CD">
        <w:rPr>
          <w:rFonts w:eastAsia="TimesNewRomanPSMT" w:cs="TimesNewRomanPSMT"/>
        </w:rPr>
        <w:t>znan</w:t>
      </w:r>
      <w:r>
        <w:rPr>
          <w:rFonts w:eastAsia="TimesNewRomanPSMT" w:cs="TimesNewRomanPSMT"/>
        </w:rPr>
        <w:t>é porasty, ktorých vý</w:t>
      </w:r>
      <w:r w:rsidRPr="00DF24CD">
        <w:rPr>
          <w:rFonts w:eastAsia="TimesNewRomanPSMT" w:cs="TimesNewRomanPSMT"/>
        </w:rPr>
        <w:t>mera m</w:t>
      </w:r>
      <w:r>
        <w:rPr>
          <w:rFonts w:eastAsia="TimesNewRomanPSMT" w:cs="TimesNewRomanPSMT"/>
        </w:rPr>
        <w:t>á</w:t>
      </w:r>
      <w:r w:rsidRPr="00DF24CD">
        <w:rPr>
          <w:rFonts w:eastAsia="TimesNewRomanPSMT" w:cs="TimesNewRomanPSMT"/>
        </w:rPr>
        <w:t xml:space="preserve"> mierne</w:t>
      </w:r>
      <w:r>
        <w:rPr>
          <w:rFonts w:eastAsia="TimesNewRomanPSMT" w:cs="TimesNewRomanPSMT"/>
        </w:rPr>
        <w:t xml:space="preserve"> </w:t>
      </w:r>
      <w:r w:rsidRPr="00DF24CD">
        <w:rPr>
          <w:rFonts w:eastAsia="TimesNewRomanPSMT" w:cs="TimesNewRomanPSMT"/>
        </w:rPr>
        <w:t>st</w:t>
      </w:r>
      <w:r>
        <w:rPr>
          <w:rFonts w:eastAsia="TimesNewRomanPSMT" w:cs="TimesNewRomanPSMT"/>
        </w:rPr>
        <w:t>úpajú</w:t>
      </w:r>
      <w:r w:rsidRPr="00DF24CD">
        <w:rPr>
          <w:rFonts w:eastAsia="TimesNewRomanPSMT" w:cs="TimesNewRomanPSMT"/>
        </w:rPr>
        <w:t>cu tendenciu hlavne pri drevin</w:t>
      </w:r>
      <w:r>
        <w:rPr>
          <w:rFonts w:eastAsia="TimesNewRomanPSMT" w:cs="TimesNewRomanPSMT"/>
        </w:rPr>
        <w:t>á</w:t>
      </w:r>
      <w:r w:rsidRPr="00DF24CD">
        <w:rPr>
          <w:rFonts w:eastAsia="TimesNewRomanPSMT" w:cs="TimesNewRomanPSMT"/>
        </w:rPr>
        <w:t xml:space="preserve">ch smrek </w:t>
      </w:r>
      <w:proofErr w:type="spellStart"/>
      <w:r w:rsidRPr="00DF24CD">
        <w:rPr>
          <w:rFonts w:eastAsia="TimesNewRomanPSMT" w:cs="TimesNewRomanPSMT"/>
        </w:rPr>
        <w:t>oby</w:t>
      </w:r>
      <w:proofErr w:type="spellEnd"/>
      <w:r w:rsidRPr="00DF24CD"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ajny</w:t>
      </w:r>
      <w:proofErr w:type="spellEnd"/>
      <w:r>
        <w:rPr>
          <w:rFonts w:eastAsia="TimesNewRomanPSMT" w:cs="TimesNewRomanPSMT"/>
        </w:rPr>
        <w:t xml:space="preserve"> a buk lesný</w:t>
      </w:r>
      <w:r w:rsidRPr="00DF24CD">
        <w:rPr>
          <w:rFonts w:eastAsia="TimesNewRomanPSMT" w:cs="TimesNewRomanPSMT"/>
        </w:rPr>
        <w:t xml:space="preserve">. Po </w:t>
      </w:r>
      <w:proofErr w:type="spellStart"/>
      <w:r>
        <w:rPr>
          <w:rFonts w:eastAsia="TimesNewRomanPSMT" w:cs="TimesNewRomanPSMT"/>
        </w:rPr>
        <w:t>et</w:t>
      </w:r>
      <w:proofErr w:type="spellEnd"/>
      <w:r>
        <w:rPr>
          <w:rFonts w:eastAsia="TimesNewRomanPSMT" w:cs="TimesNewRomanPSMT"/>
        </w:rPr>
        <w:t xml:space="preserve"> a vý</w:t>
      </w:r>
      <w:r w:rsidRPr="00DF24CD">
        <w:rPr>
          <w:rFonts w:eastAsia="TimesNewRomanPSMT" w:cs="TimesNewRomanPSMT"/>
        </w:rPr>
        <w:t>mera</w:t>
      </w:r>
      <w:r>
        <w:rPr>
          <w:rFonts w:eastAsia="TimesNewRomanPSMT" w:cs="TimesNewRomanPSMT"/>
        </w:rPr>
        <w:t xml:space="preserve"> </w:t>
      </w:r>
      <w:r w:rsidRPr="00DF24CD">
        <w:rPr>
          <w:rFonts w:eastAsia="TimesNewRomanPSMT" w:cs="TimesNewRomanPSMT"/>
        </w:rPr>
        <w:t>ostatn</w:t>
      </w:r>
      <w:r>
        <w:rPr>
          <w:rFonts w:eastAsia="TimesNewRomanPSMT" w:cs="TimesNewRomanPSMT"/>
        </w:rPr>
        <w:t>ých uznaný</w:t>
      </w:r>
      <w:r w:rsidRPr="00DF24CD">
        <w:rPr>
          <w:rFonts w:eastAsia="TimesNewRomanPSMT" w:cs="TimesNewRomanPSMT"/>
        </w:rPr>
        <w:t xml:space="preserve">ch zdrojov LRM je </w:t>
      </w:r>
      <w:r>
        <w:rPr>
          <w:rFonts w:eastAsia="TimesNewRomanPSMT" w:cs="TimesNewRomanPSMT"/>
        </w:rPr>
        <w:t>podobná</w:t>
      </w:r>
      <w:r w:rsidRPr="00DF24CD">
        <w:rPr>
          <w:rFonts w:eastAsia="TimesNewRomanPSMT" w:cs="TimesNewRomanPSMT"/>
        </w:rPr>
        <w:t xml:space="preserve"> ako bola v</w:t>
      </w:r>
      <w:r>
        <w:rPr>
          <w:rFonts w:eastAsia="TimesNewRomanPSMT" w:cs="TimesNewRomanPSMT"/>
        </w:rPr>
        <w:t> </w:t>
      </w:r>
      <w:r w:rsidRPr="00DF24CD">
        <w:rPr>
          <w:rFonts w:eastAsia="TimesNewRomanPSMT" w:cs="TimesNewRomanPSMT"/>
        </w:rPr>
        <w:t>r</w:t>
      </w:r>
      <w:r>
        <w:rPr>
          <w:rFonts w:eastAsia="TimesNewRomanPSMT" w:cs="TimesNewRomanPSMT"/>
        </w:rPr>
        <w:t>.</w:t>
      </w:r>
      <w:r w:rsidRPr="00DF24CD">
        <w:rPr>
          <w:rFonts w:eastAsia="TimesNewRomanPSMT" w:cs="TimesNewRomanPSMT"/>
        </w:rPr>
        <w:t>2011 (</w:t>
      </w:r>
      <w:r>
        <w:rPr>
          <w:rFonts w:eastAsia="TimesNewRomanPSMT" w:cs="TimesNewRomanPSMT"/>
        </w:rPr>
        <w:t xml:space="preserve">uvádza ju nasledujúca </w:t>
      </w:r>
      <w:proofErr w:type="spellStart"/>
      <w:r w:rsidRPr="00DF24CD">
        <w:rPr>
          <w:rFonts w:eastAsia="TimesNewRomanPSMT" w:cs="TimesNewRomanPSMT"/>
        </w:rPr>
        <w:t>tabueduj</w:t>
      </w:r>
      <w:proofErr w:type="spellEnd"/>
      <w:r>
        <w:rPr>
          <w:rFonts w:eastAsia="TimesNewRomanPSMT" w:cs="TimesNewRomanPSMT"/>
        </w:rPr>
        <w:t>:</w:t>
      </w:r>
    </w:p>
    <w:p w:rsidR="00760C33" w:rsidRDefault="00760C33" w:rsidP="00760C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b/>
          <w:sz w:val="20"/>
          <w:szCs w:val="20"/>
        </w:rPr>
      </w:pPr>
      <w:proofErr w:type="spellStart"/>
      <w:r w:rsidRPr="00DF24CD">
        <w:rPr>
          <w:rFonts w:eastAsia="TimesNewRomanPSMT" w:cs="TimesNewRomanPSMT"/>
          <w:b/>
          <w:sz w:val="20"/>
          <w:szCs w:val="20"/>
        </w:rPr>
        <w:t>Pob</w:t>
      </w:r>
      <w:r>
        <w:rPr>
          <w:rFonts w:eastAsia="TimesNewRomanPSMT" w:cs="TimesNewRomanPSMT"/>
          <w:b/>
          <w:sz w:val="20"/>
          <w:szCs w:val="20"/>
        </w:rPr>
        <w:t>et</w:t>
      </w:r>
      <w:proofErr w:type="spellEnd"/>
      <w:r>
        <w:rPr>
          <w:rFonts w:eastAsia="TimesNewRomanPSMT" w:cs="TimesNewRomanPSMT"/>
          <w:b/>
          <w:sz w:val="20"/>
          <w:szCs w:val="20"/>
        </w:rPr>
        <w:t xml:space="preserve"> a výmera uznaný</w:t>
      </w:r>
      <w:r w:rsidRPr="00DF24CD">
        <w:rPr>
          <w:rFonts w:eastAsia="TimesNewRomanPSMT" w:cs="TimesNewRomanPSMT"/>
          <w:b/>
          <w:sz w:val="20"/>
          <w:szCs w:val="20"/>
        </w:rPr>
        <w:t>ch zdrojov LRM v SR k 31.12.2012</w:t>
      </w:r>
    </w:p>
    <w:tbl>
      <w:tblPr>
        <w:tblStyle w:val="Mriekatabuky"/>
        <w:tblW w:w="0" w:type="auto"/>
        <w:tblLook w:val="04A0"/>
      </w:tblPr>
      <w:tblGrid>
        <w:gridCol w:w="1384"/>
        <w:gridCol w:w="1276"/>
        <w:gridCol w:w="1134"/>
        <w:gridCol w:w="1276"/>
        <w:gridCol w:w="1134"/>
        <w:gridCol w:w="1417"/>
      </w:tblGrid>
      <w:tr w:rsidR="00760C33" w:rsidRPr="00FE67FB" w:rsidTr="00201CCC">
        <w:trPr>
          <w:trHeight w:val="435"/>
        </w:trPr>
        <w:tc>
          <w:tcPr>
            <w:tcW w:w="1384" w:type="dxa"/>
            <w:vMerge w:val="restart"/>
            <w:vAlign w:val="center"/>
          </w:tcPr>
          <w:p w:rsidR="00760C33" w:rsidRDefault="00760C33" w:rsidP="00201CCC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Drevina</w:t>
            </w:r>
          </w:p>
        </w:tc>
        <w:tc>
          <w:tcPr>
            <w:tcW w:w="1276" w:type="dxa"/>
            <w:vAlign w:val="center"/>
          </w:tcPr>
          <w:p w:rsidR="00760C33" w:rsidRPr="00FE67FB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Uznané</w:t>
            </w:r>
          </w:p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porasty</w:t>
            </w:r>
          </w:p>
        </w:tc>
        <w:tc>
          <w:tcPr>
            <w:tcW w:w="1134" w:type="dxa"/>
            <w:vAlign w:val="center"/>
          </w:tcPr>
          <w:p w:rsidR="00760C33" w:rsidRPr="00FE67FB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Výberové</w:t>
            </w:r>
          </w:p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stromy</w:t>
            </w:r>
          </w:p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S</w:t>
            </w:r>
            <w:r w:rsidRPr="00FE67FB">
              <w:rPr>
                <w:rFonts w:eastAsia="TimesNewRomanPSMT" w:cs="TimesNewRomanPSMT"/>
                <w:sz w:val="18"/>
                <w:szCs w:val="18"/>
              </w:rPr>
              <w:t xml:space="preserve">emenné </w:t>
            </w:r>
            <w:r w:rsidRPr="00DF24CD">
              <w:rPr>
                <w:rFonts w:eastAsia="TimesNewRomanPSMT" w:cs="TimesNewRomanPSMT"/>
                <w:sz w:val="18"/>
                <w:szCs w:val="18"/>
              </w:rPr>
              <w:t>sady</w:t>
            </w:r>
          </w:p>
        </w:tc>
        <w:tc>
          <w:tcPr>
            <w:tcW w:w="1417" w:type="dxa"/>
            <w:vAlign w:val="center"/>
          </w:tcPr>
          <w:p w:rsidR="00760C33" w:rsidRPr="00FE67FB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Identifikované</w:t>
            </w:r>
          </w:p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zdroje</w:t>
            </w:r>
          </w:p>
        </w:tc>
      </w:tr>
      <w:tr w:rsidR="00760C33" w:rsidRPr="00FE67FB" w:rsidTr="00201CCC">
        <w:tc>
          <w:tcPr>
            <w:tcW w:w="1384" w:type="dxa"/>
            <w:vMerge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ha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ks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proofErr w:type="spellStart"/>
            <w:r w:rsidRPr="00DF24CD">
              <w:rPr>
                <w:rFonts w:eastAsia="TimesNewRomanPSMT" w:cs="TimesNewRomanPSMT"/>
                <w:sz w:val="18"/>
                <w:szCs w:val="18"/>
              </w:rPr>
              <w:t>poroj</w:t>
            </w:r>
            <w:proofErr w:type="spellEnd"/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ha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ha</w:t>
            </w: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Smrek obyčajný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16 983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5,85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Jedľa biela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4 058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154 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2,3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Borovica lesná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3 262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793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31,75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Smrekovec opadavý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1 366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85,17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Duby 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9 212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494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3,00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Buk lesný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32 618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12</w:t>
            </w: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Ostatné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2 056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1 784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18,75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101</w:t>
            </w:r>
          </w:p>
        </w:tc>
      </w:tr>
      <w:tr w:rsidR="00760C33" w:rsidRPr="00FE67FB" w:rsidTr="00201CCC">
        <w:tc>
          <w:tcPr>
            <w:tcW w:w="138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>Spolu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DF24CD">
              <w:rPr>
                <w:rFonts w:eastAsia="TimesNewRomanPSMT" w:cs="TimesNewRomanPSMT"/>
                <w:sz w:val="18"/>
                <w:szCs w:val="18"/>
              </w:rPr>
              <w:t xml:space="preserve">69 555 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4 542</w:t>
            </w:r>
          </w:p>
        </w:tc>
        <w:tc>
          <w:tcPr>
            <w:tcW w:w="1276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146,82</w:t>
            </w:r>
          </w:p>
        </w:tc>
        <w:tc>
          <w:tcPr>
            <w:tcW w:w="1417" w:type="dxa"/>
          </w:tcPr>
          <w:p w:rsidR="00760C33" w:rsidRDefault="00760C33" w:rsidP="00201CCC">
            <w:pPr>
              <w:autoSpaceDE w:val="0"/>
              <w:autoSpaceDN w:val="0"/>
              <w:adjustRightInd w:val="0"/>
              <w:jc w:val="right"/>
              <w:rPr>
                <w:rFonts w:eastAsia="TimesNewRomanPSMT" w:cs="TimesNewRomanPSMT"/>
                <w:sz w:val="18"/>
                <w:szCs w:val="18"/>
              </w:rPr>
            </w:pPr>
            <w:r w:rsidRPr="00FE67FB">
              <w:rPr>
                <w:rFonts w:eastAsia="TimesNewRomanPSMT" w:cs="TimesNewRomanPSMT"/>
                <w:sz w:val="18"/>
                <w:szCs w:val="18"/>
              </w:rPr>
              <w:t>113</w:t>
            </w:r>
          </w:p>
        </w:tc>
      </w:tr>
    </w:tbl>
    <w:p w:rsidR="00760C33" w:rsidRDefault="00760C33" w:rsidP="00760C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i/>
          <w:sz w:val="18"/>
          <w:szCs w:val="18"/>
        </w:rPr>
      </w:pPr>
      <w:r w:rsidRPr="00DF24CD">
        <w:rPr>
          <w:rFonts w:eastAsia="TimesNewRomanPSMT" w:cs="TimesNewRomanPSMT"/>
          <w:i/>
          <w:sz w:val="18"/>
          <w:szCs w:val="18"/>
        </w:rPr>
        <w:t>Zdroj: NLC-LVÚ Zvolen, 2013</w:t>
      </w:r>
      <w:r>
        <w:rPr>
          <w:rFonts w:eastAsia="TimesNewRomanPSMT" w:cs="TimesNewRomanPSMT"/>
          <w:i/>
          <w:sz w:val="18"/>
          <w:szCs w:val="18"/>
        </w:rPr>
        <w:t xml:space="preserve"> (in Zelená správa 2013)</w:t>
      </w:r>
    </w:p>
    <w:p w:rsidR="00760C33" w:rsidRDefault="00760C33" w:rsidP="00760C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760C33" w:rsidRDefault="00760C33" w:rsidP="00760C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</w:t>
      </w:r>
      <w:r w:rsidRPr="00C513EC">
        <w:rPr>
          <w:rFonts w:eastAsia="TimesNewRomanPSMT" w:cs="TimesNewRomanPSMT"/>
        </w:rPr>
        <w:t xml:space="preserve">a </w:t>
      </w:r>
      <w:proofErr w:type="spellStart"/>
      <w:r w:rsidRPr="00C513EC">
        <w:rPr>
          <w:rFonts w:eastAsia="TimesNewRomanPSMT" w:cs="TimesNewRomanPSMT"/>
        </w:rPr>
        <w:t>uzem</w:t>
      </w:r>
      <w:r>
        <w:rPr>
          <w:rFonts w:eastAsia="TimesNewRomanPSMT" w:cs="TimesNewRomanPSMT"/>
        </w:rPr>
        <w:t>í</w:t>
      </w:r>
      <w:proofErr w:type="spellEnd"/>
      <w:r w:rsidRPr="00C513EC">
        <w:rPr>
          <w:rFonts w:eastAsia="TimesNewRomanPSMT" w:cs="TimesNewRomanPSMT"/>
        </w:rPr>
        <w:t xml:space="preserve"> S</w:t>
      </w:r>
      <w:r>
        <w:rPr>
          <w:rFonts w:eastAsia="TimesNewRomanPSMT" w:cs="TimesNewRomanPSMT"/>
        </w:rPr>
        <w:t>R je n</w:t>
      </w:r>
      <w:r w:rsidRPr="00DF24CD">
        <w:rPr>
          <w:rFonts w:eastAsia="TimesNewRomanPSMT" w:cs="TimesNewRomanPSMT"/>
        </w:rPr>
        <w:t>a zachovanie genetick</w:t>
      </w:r>
      <w:r>
        <w:rPr>
          <w:rFonts w:eastAsia="TimesNewRomanPSMT" w:cs="TimesNewRomanPSMT"/>
        </w:rPr>
        <w:t>ých zdrojov lesný</w:t>
      </w:r>
      <w:r w:rsidRPr="00DF24CD">
        <w:rPr>
          <w:rFonts w:eastAsia="TimesNewRomanPSMT" w:cs="TimesNewRomanPSMT"/>
        </w:rPr>
        <w:t>ch drev</w:t>
      </w:r>
      <w:r>
        <w:rPr>
          <w:rFonts w:eastAsia="TimesNewRomanPSMT" w:cs="TimesNewRomanPSMT"/>
        </w:rPr>
        <w:t>í</w:t>
      </w:r>
      <w:r w:rsidRPr="00DF24CD">
        <w:rPr>
          <w:rFonts w:eastAsia="TimesNewRomanPSMT" w:cs="TimesNewRomanPSMT"/>
        </w:rPr>
        <w:t>n z</w:t>
      </w:r>
      <w:r>
        <w:rPr>
          <w:rFonts w:eastAsia="TimesNewRomanPSMT" w:cs="TimesNewRomanPSMT"/>
        </w:rPr>
        <w:t>riadených k 31. 12. 2012, 129 gé</w:t>
      </w:r>
      <w:r w:rsidRPr="00DF24CD">
        <w:rPr>
          <w:rFonts w:eastAsia="TimesNewRomanPSMT" w:cs="TimesNewRomanPSMT"/>
        </w:rPr>
        <w:t>nov</w:t>
      </w:r>
      <w:r>
        <w:rPr>
          <w:rFonts w:eastAsia="TimesNewRomanPSMT" w:cs="TimesNewRomanPSMT"/>
        </w:rPr>
        <w:t>ých zá</w:t>
      </w:r>
      <w:r w:rsidRPr="00DF24CD">
        <w:rPr>
          <w:rFonts w:eastAsia="TimesNewRomanPSMT" w:cs="TimesNewRomanPSMT"/>
        </w:rPr>
        <w:t>kladn</w:t>
      </w:r>
      <w:r>
        <w:rPr>
          <w:rFonts w:eastAsia="TimesNewRomanPSMT" w:cs="TimesNewRomanPSMT"/>
        </w:rPr>
        <w:t>í s celkovou vý</w:t>
      </w:r>
      <w:r w:rsidRPr="00DF24CD">
        <w:rPr>
          <w:rFonts w:eastAsia="TimesNewRomanPSMT" w:cs="TimesNewRomanPSMT"/>
        </w:rPr>
        <w:t>merou 25 567 ha a</w:t>
      </w:r>
      <w:r>
        <w:rPr>
          <w:rFonts w:eastAsia="TimesNewRomanPSMT" w:cs="TimesNewRomanPSMT"/>
        </w:rPr>
        <w:t> </w:t>
      </w:r>
      <w:r w:rsidRPr="00DF24CD">
        <w:rPr>
          <w:rFonts w:eastAsia="TimesNewRomanPSMT" w:cs="TimesNewRomanPSMT"/>
        </w:rPr>
        <w:t>129</w:t>
      </w:r>
      <w:r>
        <w:rPr>
          <w:rFonts w:eastAsia="TimesNewRomanPSMT" w:cs="TimesNewRomanPSMT"/>
        </w:rPr>
        <w:t xml:space="preserve"> semenných porastov s vý</w:t>
      </w:r>
      <w:r w:rsidRPr="00DF24CD">
        <w:rPr>
          <w:rFonts w:eastAsia="TimesNewRomanPSMT" w:cs="TimesNewRomanPSMT"/>
        </w:rPr>
        <w:t>merou 668,94 ha.</w:t>
      </w:r>
    </w:p>
    <w:p w:rsidR="00760C33" w:rsidRDefault="00760C33" w:rsidP="00073831">
      <w:pPr>
        <w:spacing w:after="0" w:line="240" w:lineRule="auto"/>
        <w:jc w:val="both"/>
        <w:rPr>
          <w:rFonts w:cs="Calibri"/>
          <w:i/>
        </w:rPr>
      </w:pPr>
    </w:p>
    <w:p w:rsidR="006C4BB8" w:rsidRPr="006C4BB8" w:rsidRDefault="006C4BB8" w:rsidP="006C4B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C4BB8">
        <w:rPr>
          <w:b/>
        </w:rPr>
        <w:t>Lesné cesty</w:t>
      </w:r>
    </w:p>
    <w:p w:rsidR="0077672E" w:rsidRPr="0077672E" w:rsidRDefault="0077672E" w:rsidP="0077672E">
      <w:pPr>
        <w:spacing w:after="0" w:line="240" w:lineRule="auto"/>
        <w:jc w:val="both"/>
      </w:pPr>
      <w:r w:rsidRPr="0077672E">
        <w:t xml:space="preserve">Nedobudované lesné cesty sťažujú prístup a práce pri obhospodarovaní lesov a rovnako negatívne ovplyvňujú prevenciu a hasenie lesných požiarov. V hospodárskych lesoch sa uvažuje s hustotou lesných ciest 20–25 m.ha-1 a pre ochranné lesy sa odporúča hustota 7–14 m.ha-1 lesných ciest. Celkovo na Slovensku nedostatočné sprístupnenie lesov, výrazne znemožňuje ich trvalo udržateľné obhospodarovanie z pohľadu ekonomického, environmentálneho a sociálneho. </w:t>
      </w:r>
    </w:p>
    <w:p w:rsidR="0077672E" w:rsidRPr="0077672E" w:rsidRDefault="0077672E" w:rsidP="0077672E">
      <w:pPr>
        <w:spacing w:after="0" w:line="240" w:lineRule="auto"/>
        <w:jc w:val="both"/>
      </w:pPr>
      <w:r w:rsidRPr="0077672E">
        <w:t xml:space="preserve">V programovom období 2007–2013 bola prevažná časť verejných zdrojov v lesníctve použitá na výstavbu infraštruktúry—lesných ciest. V roku 2012 hustota sprístupnenia lesov dopravnou sieťou vzrástla oproti predchádzajúcemu roku len nepatrne (o 0,1 m/ha). Celková dĺžka lesnej dopravnej siete bola </w:t>
      </w:r>
      <w:smartTag w:uri="urn:schemas-microsoft-com:office:smarttags" w:element="metricconverter">
        <w:smartTagPr>
          <w:attr w:name="ProductID" w:val="40ﾠ740 km"/>
        </w:smartTagPr>
        <w:r w:rsidRPr="0077672E">
          <w:t>40 740 km</w:t>
        </w:r>
      </w:smartTag>
      <w:r w:rsidRPr="0077672E">
        <w:t xml:space="preserve"> (Správa o lesnom hospodárstve v Slovenskej republike za rok 2012). </w:t>
      </w:r>
    </w:p>
    <w:p w:rsidR="0077672E" w:rsidRPr="0077672E" w:rsidRDefault="0077672E" w:rsidP="0077672E">
      <w:pPr>
        <w:spacing w:after="0" w:line="240" w:lineRule="auto"/>
        <w:jc w:val="both"/>
      </w:pPr>
      <w:r w:rsidRPr="0077672E">
        <w:t xml:space="preserve">Podpora sprístupňovania lesov na Slovensku neslúži na účel transportu biomasy. Prioritne, sprístupnenie lesnou cestnou sieťou slúži ako preventívne opatrenie (protipožiarna prevencie), resp. zvyšuje konkurencieschopnosť lesného hospodárstva. </w:t>
      </w:r>
    </w:p>
    <w:p w:rsidR="006C4BB8" w:rsidRDefault="006C4BB8" w:rsidP="00073831">
      <w:pPr>
        <w:spacing w:after="0" w:line="240" w:lineRule="auto"/>
        <w:jc w:val="both"/>
      </w:pPr>
      <w:r w:rsidRPr="00EF7F3D">
        <w:t xml:space="preserve">Aj napriek podpore výstavby lesných ciest v rámci opatrenia 226 je hustota lesných ciest na Slovensku najnižšia spomedzi porovnateľných  lesnícky vyspelých krajín Európy (viď. SWOT analýza PRV 2014-2020). Navyše aj vzhľadom na neukončenie PRV 2007-2013 nie je možné presne vymedziť podporenú dĺžku lesných ciest, ktoré boli budované za účelom protipožiarnej ochrany. Na optimálne sprístupnenie je potrebná hustota lesných ciest  v hospodárskych lesoch aspoň 20–25 m.ha-1 a pre ochranné lesy sa odporúča hustota 7–14 m.ha-1 lesných ciest. Hustota lesných ciest kategórie 1L a 2L bez rozdielu ich financovania stúpla od roku 2006 do roku 2013 len o 0,1 m/ha (Správa o LH v SR).  Tento zdanlivo malý nárast hustoty predmetných lesných ciest je zapríčinený aj tým, že väčšina </w:t>
      </w:r>
      <w:r w:rsidRPr="00EF7F3D">
        <w:lastRenderedPageBreak/>
        <w:t>podpory v rámci opatrenia 226 z PRV 2007-2013 bola orientovaná na rekonštrukciu  jestvujúcich lesných ciest, ktorých stav neumožňoval ich využitie na účel, kvôli ktorému boli vybudované</w:t>
      </w:r>
      <w:r>
        <w:t>.</w:t>
      </w:r>
      <w:r w:rsidRPr="00EF7F3D">
        <w:t xml:space="preserve"> V rámci opatrenia 8 je navyše výstavba lesných ciest oprávnená len ako prístup k vybudovaným objektov v rámci tohto opatrenia, čo zabezpečí ich efektívnejšie využívanie a efektívnejšiu prevenciu a ochranu lesných porastov. 2020). Na optimálne sprístupnenie lesov sa uvažuje s hustotou lesných  v hospodárskych lesoch 20–25 m.ha-1 a pre ochranné lesy sa odporúča hustota 7–14 m.ha-1 lesných ciest. V rámci opatrenia 8 je výstavba lesných ciest oprávnená len ako prístup k vybudovaným objektov v rámci tohto opatrenia, čo umožní efektívnejšie využívanie týchto objektov a efektívnejšiu prevenciu a ochranu lesných porastov.</w:t>
      </w:r>
    </w:p>
    <w:p w:rsidR="0077672E" w:rsidRDefault="0077672E" w:rsidP="00073831">
      <w:pPr>
        <w:spacing w:after="0" w:line="240" w:lineRule="auto"/>
        <w:jc w:val="both"/>
      </w:pPr>
    </w:p>
    <w:p w:rsidR="0077672E" w:rsidRDefault="0077672E" w:rsidP="0077672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Kvalita vody</w:t>
      </w:r>
    </w:p>
    <w:p w:rsidR="0077672E" w:rsidRDefault="0077672E" w:rsidP="0077672E">
      <w:pPr>
        <w:pBdr>
          <w:bar w:val="single" w:sz="6" w:color="808080"/>
        </w:pBdr>
        <w:jc w:val="both"/>
        <w:rPr>
          <w:rFonts w:ascii="Calibri" w:hAnsi="Calibri"/>
        </w:rPr>
      </w:pPr>
      <w:r w:rsidRPr="0077672E">
        <w:rPr>
          <w:rFonts w:ascii="Calibri" w:hAnsi="Calibri"/>
        </w:rPr>
        <w:t xml:space="preserve">Na základe výsledkov analýz štátneho  monitoringu kvality podzemných vôd z SHMÚ (obdobie 1996 - 2011) a monitoringu kvality vody vo vodných zdrojoch vodárenských spoločností (obdobie 2004 - 2011) v rámci celého územia SR vykazovalo 57,42 % hodnotených objektov stabilný trend  vývoja  obsahu  dusičnanov  v  podzemných  vodách  a  25,43  %  klesajúci  trend. </w:t>
      </w:r>
      <w:r w:rsidRPr="0077672E">
        <w:rPr>
          <w:rFonts w:ascii="Calibri" w:hAnsi="Calibri"/>
          <w:b/>
          <w:bCs/>
        </w:rPr>
        <w:t xml:space="preserve"> </w:t>
      </w:r>
      <w:r w:rsidRPr="0077672E">
        <w:rPr>
          <w:rFonts w:ascii="Calibri" w:hAnsi="Calibri"/>
          <w:bCs/>
        </w:rPr>
        <w:t>Rastúci trend vývoja koncentrácií NO3 bol zaznamenaný len u 17,5 % objektov</w:t>
      </w:r>
      <w:r w:rsidRPr="0077672E">
        <w:rPr>
          <w:rFonts w:ascii="Calibri" w:hAnsi="Calibri"/>
        </w:rPr>
        <w:t xml:space="preserve">. </w:t>
      </w:r>
    </w:p>
    <w:p w:rsidR="0077672E" w:rsidRPr="00A53662" w:rsidRDefault="0077672E" w:rsidP="0077672E">
      <w:pPr>
        <w:pBdr>
          <w:bar w:val="single" w:sz="6" w:color="808080"/>
        </w:pBdr>
        <w:jc w:val="both"/>
        <w:rPr>
          <w:rFonts w:cs="Arial"/>
          <w:bCs/>
        </w:rPr>
      </w:pPr>
      <w:r w:rsidRPr="00A53662">
        <w:rPr>
          <w:rFonts w:cs="Arial"/>
          <w:bCs/>
        </w:rPr>
        <w:t xml:space="preserve">Na základe nameraných hodnôt je možné konštatovať, že v povrchových vodách sú priemerné hodnoty ročnej koncentrácie dusičnanov v SR nižšie ako limit </w:t>
      </w:r>
      <w:r w:rsidRPr="00A53662">
        <w:rPr>
          <w:rFonts w:cs="Arial"/>
          <w:bCs/>
          <w:u w:val="single"/>
        </w:rPr>
        <w:t xml:space="preserve">11,3 </w:t>
      </w:r>
      <w:proofErr w:type="spellStart"/>
      <w:r w:rsidRPr="00A53662">
        <w:rPr>
          <w:rFonts w:cs="Arial"/>
          <w:bCs/>
          <w:u w:val="single"/>
        </w:rPr>
        <w:t>mg-N</w:t>
      </w:r>
      <w:proofErr w:type="spellEnd"/>
      <w:r w:rsidRPr="00A53662">
        <w:rPr>
          <w:rFonts w:cs="Arial"/>
          <w:bCs/>
          <w:u w:val="single"/>
        </w:rPr>
        <w:t xml:space="preserve">/l </w:t>
      </w:r>
      <w:r w:rsidRPr="00A53662">
        <w:rPr>
          <w:rFonts w:cs="Arial"/>
          <w:bCs/>
        </w:rPr>
        <w:t>(ekvivalent k 50 mg-NO</w:t>
      </w:r>
      <w:r w:rsidRPr="00A53662">
        <w:rPr>
          <w:rFonts w:cs="Arial"/>
          <w:bCs/>
          <w:vertAlign w:val="subscript"/>
        </w:rPr>
        <w:t>3</w:t>
      </w:r>
      <w:r w:rsidRPr="00A53662">
        <w:rPr>
          <w:rFonts w:cs="Arial"/>
          <w:bCs/>
        </w:rPr>
        <w:t xml:space="preserve">/l) podľa nitrátovej smernice (smernica Rady: 91/676/EEC) a smernice o pitnej vode (smernica Rady: 98/83/EC). Ročná priemerná koncentrácia dusičnanov v povrchových vodách SR v r. 2011 predstavovala 1,7 </w:t>
      </w:r>
      <w:proofErr w:type="spellStart"/>
      <w:r w:rsidRPr="00A53662">
        <w:rPr>
          <w:rFonts w:cs="Arial"/>
          <w:bCs/>
        </w:rPr>
        <w:t>mg-N</w:t>
      </w:r>
      <w:proofErr w:type="spellEnd"/>
      <w:r w:rsidRPr="00A53662">
        <w:rPr>
          <w:rFonts w:cs="Arial"/>
          <w:bCs/>
        </w:rPr>
        <w:t>/l (EEA).</w:t>
      </w:r>
    </w:p>
    <w:p w:rsidR="0077672E" w:rsidRPr="00A53662" w:rsidRDefault="0077672E" w:rsidP="0077672E">
      <w:pPr>
        <w:pBdr>
          <w:bar w:val="single" w:sz="6" w:color="808080"/>
        </w:pBdr>
        <w:jc w:val="both"/>
        <w:rPr>
          <w:rFonts w:cs="Arial"/>
          <w:bCs/>
        </w:rPr>
      </w:pPr>
      <w:r w:rsidRPr="00A53662">
        <w:rPr>
          <w:rFonts w:cs="Arial"/>
          <w:bCs/>
        </w:rPr>
        <w:t>Taktiež aj priemerné hodnoty ročnej koncentrácie dusičnanov v podzemných vodách za SR podľa nitrátovej smernice (smernica Rady: 91/676/EEC) a smernice o pitnej vode (smernica Rady: 98/83/EC) sú stále nižšie ako 25 mg/l NO</w:t>
      </w:r>
      <w:r w:rsidRPr="00A53662">
        <w:rPr>
          <w:rFonts w:cs="Arial"/>
          <w:bCs/>
          <w:vertAlign w:val="subscript"/>
        </w:rPr>
        <w:t>3</w:t>
      </w:r>
      <w:r w:rsidRPr="00A53662">
        <w:rPr>
          <w:rFonts w:cs="Arial"/>
          <w:bCs/>
        </w:rPr>
        <w:t>, ktoré sú považované za nízke a sú klasifikované ako vody vysokej kvality al. vody s nízkym znečistením. Ročná priemerná koncentrácia dusičnanov v podzemných vodách v r. 2011 predstavovala 16,6 mg/l NO</w:t>
      </w:r>
      <w:r w:rsidRPr="00A53662">
        <w:rPr>
          <w:rFonts w:cs="Arial"/>
          <w:bCs/>
          <w:vertAlign w:val="subscript"/>
        </w:rPr>
        <w:t>3</w:t>
      </w:r>
    </w:p>
    <w:p w:rsidR="0077672E" w:rsidRPr="00A53662" w:rsidRDefault="0077672E" w:rsidP="0077672E">
      <w:pPr>
        <w:pBdr>
          <w:bar w:val="single" w:sz="6" w:color="808080"/>
        </w:pBdr>
        <w:jc w:val="both"/>
        <w:rPr>
          <w:rFonts w:cs="Arial"/>
          <w:bCs/>
        </w:rPr>
      </w:pPr>
      <w:r w:rsidRPr="00A53662">
        <w:rPr>
          <w:rFonts w:cs="Arial"/>
          <w:bCs/>
        </w:rPr>
        <w:t>SR dodržiava záväzné pravidlá a požiadavky na udržanie, resp. zlepšenie ekologického stavu vôd a umožňuje dosiahnutie dobrého stavu podľa Rámcovej smernice o vode (Smernica 2000/60/ES európskeho parlamentu a Rady z 23. Októbra 2000).</w:t>
      </w:r>
    </w:p>
    <w:p w:rsidR="0077672E" w:rsidRPr="0077672E" w:rsidRDefault="0077672E" w:rsidP="0077672E">
      <w:pPr>
        <w:pBdr>
          <w:bar w:val="single" w:sz="6" w:color="808080"/>
        </w:pBdr>
        <w:jc w:val="both"/>
        <w:rPr>
          <w:rFonts w:ascii="Calibri" w:hAnsi="Calibri"/>
        </w:rPr>
      </w:pPr>
    </w:p>
    <w:p w:rsidR="0077672E" w:rsidRDefault="0077672E" w:rsidP="0077672E">
      <w:pPr>
        <w:spacing w:after="0" w:line="240" w:lineRule="auto"/>
        <w:jc w:val="both"/>
      </w:pPr>
    </w:p>
    <w:sectPr w:rsidR="0077672E" w:rsidSect="0071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68" w:rsidRDefault="005A2268" w:rsidP="000844C8">
      <w:pPr>
        <w:spacing w:before="0" w:after="0" w:line="240" w:lineRule="auto"/>
      </w:pPr>
      <w:r>
        <w:separator/>
      </w:r>
    </w:p>
  </w:endnote>
  <w:endnote w:type="continuationSeparator" w:id="0">
    <w:p w:rsidR="005A2268" w:rsidRDefault="005A2268" w:rsidP="00084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68" w:rsidRDefault="005A2268" w:rsidP="000844C8">
      <w:pPr>
        <w:spacing w:before="0" w:after="0" w:line="240" w:lineRule="auto"/>
      </w:pPr>
      <w:r>
        <w:separator/>
      </w:r>
    </w:p>
  </w:footnote>
  <w:footnote w:type="continuationSeparator" w:id="0">
    <w:p w:rsidR="005A2268" w:rsidRDefault="005A2268" w:rsidP="000844C8">
      <w:pPr>
        <w:spacing w:before="0" w:after="0" w:line="240" w:lineRule="auto"/>
      </w:pPr>
      <w:r>
        <w:continuationSeparator/>
      </w:r>
    </w:p>
  </w:footnote>
  <w:footnote w:id="1">
    <w:p w:rsidR="000844C8" w:rsidRDefault="000844C8" w:rsidP="000844C8">
      <w:pPr>
        <w:pStyle w:val="Textpoznmkypodiarou"/>
        <w:jc w:val="both"/>
        <w:rPr>
          <w:sz w:val="18"/>
          <w:szCs w:val="18"/>
        </w:rPr>
      </w:pPr>
      <w:r w:rsidRPr="00DF24CD">
        <w:rPr>
          <w:rStyle w:val="Odkaznapoznmkupodiarou"/>
          <w:sz w:val="18"/>
          <w:szCs w:val="18"/>
        </w:rPr>
        <w:footnoteRef/>
      </w:r>
      <w:r w:rsidRPr="00DF24CD">
        <w:rPr>
          <w:sz w:val="18"/>
          <w:szCs w:val="18"/>
        </w:rPr>
        <w:t xml:space="preserve"> </w:t>
      </w:r>
      <w:r w:rsidRPr="00DF24CD">
        <w:rPr>
          <w:rFonts w:eastAsia="Times New Roman" w:cs="Tahoma"/>
          <w:color w:val="000000"/>
          <w:sz w:val="18"/>
          <w:szCs w:val="18"/>
          <w:lang w:eastAsia="sk-SK"/>
        </w:rPr>
        <w:t>RIS3 vypracovalo Ministerstvo hospodárstva SR v spolupráci s Ministerstvom školstva, vedy, výskumu a športu SR. Na jej príprave sa spolupodieľal aj Úrad vlády SR a ďalšie inštitúcie zo sektorov podnikateľského, akademického a výskumného.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E19"/>
    <w:multiLevelType w:val="hybridMultilevel"/>
    <w:tmpl w:val="309092D8"/>
    <w:lvl w:ilvl="0" w:tplc="FC2A5A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A00F3"/>
    <w:multiLevelType w:val="hybridMultilevel"/>
    <w:tmpl w:val="BD808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2BC9"/>
    <w:multiLevelType w:val="multilevel"/>
    <w:tmpl w:val="1EAAA2B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numFmt w:val="none"/>
      <w:pStyle w:val="Nadpis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Nadpis4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Nadpis5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Nadpis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pStyle w:val="Nadpis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pStyle w:val="Nadpis8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7B80660"/>
    <w:multiLevelType w:val="hybridMultilevel"/>
    <w:tmpl w:val="7EF61648"/>
    <w:lvl w:ilvl="0" w:tplc="F5100C92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EF"/>
    <w:rsid w:val="00034C8C"/>
    <w:rsid w:val="00073831"/>
    <w:rsid w:val="000844C8"/>
    <w:rsid w:val="000F7807"/>
    <w:rsid w:val="00110D19"/>
    <w:rsid w:val="001C315C"/>
    <w:rsid w:val="00350A06"/>
    <w:rsid w:val="005A2268"/>
    <w:rsid w:val="005F6A13"/>
    <w:rsid w:val="00607011"/>
    <w:rsid w:val="00612BEF"/>
    <w:rsid w:val="006C4BB8"/>
    <w:rsid w:val="00714541"/>
    <w:rsid w:val="00760C33"/>
    <w:rsid w:val="0077672E"/>
    <w:rsid w:val="008F04EC"/>
    <w:rsid w:val="00CE243F"/>
    <w:rsid w:val="00D17F69"/>
    <w:rsid w:val="00D473F8"/>
    <w:rsid w:val="00DC1DD8"/>
    <w:rsid w:val="00E03500"/>
    <w:rsid w:val="00E10347"/>
    <w:rsid w:val="00E163D1"/>
    <w:rsid w:val="00E3460B"/>
    <w:rsid w:val="00E621F3"/>
    <w:rsid w:val="00F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541"/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CE243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0F7807"/>
    <w:pPr>
      <w:keepNext/>
      <w:numPr>
        <w:ilvl w:val="2"/>
        <w:numId w:val="3"/>
      </w:numPr>
      <w:spacing w:before="6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val="en-GB"/>
    </w:rPr>
  </w:style>
  <w:style w:type="paragraph" w:styleId="Nadpis4">
    <w:name w:val="heading 4"/>
    <w:basedOn w:val="Normlny"/>
    <w:next w:val="Normlny"/>
    <w:link w:val="Nadpis4Char"/>
    <w:qFormat/>
    <w:rsid w:val="000F7807"/>
    <w:pPr>
      <w:keepNext/>
      <w:numPr>
        <w:ilvl w:val="3"/>
        <w:numId w:val="3"/>
      </w:numPr>
      <w:spacing w:before="6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Nadpis5">
    <w:name w:val="heading 5"/>
    <w:basedOn w:val="Normlny"/>
    <w:next w:val="Normlny"/>
    <w:link w:val="Nadpis5Char"/>
    <w:qFormat/>
    <w:rsid w:val="000F7807"/>
    <w:pPr>
      <w:numPr>
        <w:ilvl w:val="4"/>
        <w:numId w:val="3"/>
      </w:numPr>
      <w:spacing w:before="4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6">
    <w:name w:val="heading 6"/>
    <w:basedOn w:val="Normlny"/>
    <w:next w:val="Normlny"/>
    <w:link w:val="Nadpis6Char"/>
    <w:qFormat/>
    <w:rsid w:val="000F7807"/>
    <w:pPr>
      <w:numPr>
        <w:ilvl w:val="5"/>
        <w:numId w:val="3"/>
      </w:numPr>
      <w:spacing w:before="4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7">
    <w:name w:val="heading 7"/>
    <w:basedOn w:val="Normlny"/>
    <w:next w:val="Normlny"/>
    <w:link w:val="Nadpis7Char"/>
    <w:qFormat/>
    <w:rsid w:val="000F7807"/>
    <w:pPr>
      <w:numPr>
        <w:ilvl w:val="6"/>
        <w:numId w:val="3"/>
      </w:numPr>
      <w:spacing w:before="40" w:line="240" w:lineRule="auto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8">
    <w:name w:val="heading 8"/>
    <w:basedOn w:val="Normlny"/>
    <w:next w:val="Normlny"/>
    <w:link w:val="Nadpis8Char"/>
    <w:qFormat/>
    <w:rsid w:val="000F7807"/>
    <w:pPr>
      <w:numPr>
        <w:ilvl w:val="7"/>
        <w:numId w:val="3"/>
      </w:numPr>
      <w:spacing w:before="40" w:line="240" w:lineRule="auto"/>
      <w:jc w:val="both"/>
      <w:outlineLvl w:val="7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E243F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Default">
    <w:name w:val="Default"/>
    <w:rsid w:val="00612BE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12BEF"/>
    <w:rPr>
      <w:rFonts w:ascii="EUAlbertina" w:hAnsi="EUAlbertina" w:cstheme="minorBidi"/>
      <w:color w:val="auto"/>
    </w:rPr>
  </w:style>
  <w:style w:type="table" w:styleId="Mriekatabuky">
    <w:name w:val="Table Grid"/>
    <w:basedOn w:val="Normlnatabuka"/>
    <w:uiPriority w:val="59"/>
    <w:rsid w:val="00612BE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612BEF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612BE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4C8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44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44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844C8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F7807"/>
    <w:rPr>
      <w:rFonts w:ascii="Times New Roman" w:eastAsia="Times New Roman" w:hAnsi="Times New Roman" w:cs="Times New Roman"/>
      <w:i/>
      <w:sz w:val="24"/>
      <w:szCs w:val="20"/>
      <w:u w:val="single"/>
      <w:lang w:val="en-GB"/>
    </w:rPr>
  </w:style>
  <w:style w:type="character" w:customStyle="1" w:styleId="Nadpis4Char">
    <w:name w:val="Nadpis 4 Char"/>
    <w:basedOn w:val="Predvolenpsmoodseku"/>
    <w:link w:val="Nadpis4"/>
    <w:rsid w:val="000F7807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Nadpis5Char">
    <w:name w:val="Nadpis 5 Char"/>
    <w:basedOn w:val="Predvolenpsmoodseku"/>
    <w:link w:val="Nadpis5"/>
    <w:rsid w:val="000F780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dpis6Char">
    <w:name w:val="Nadpis 6 Char"/>
    <w:basedOn w:val="Predvolenpsmoodseku"/>
    <w:link w:val="Nadpis6"/>
    <w:rsid w:val="000F780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0F780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dpis8Char">
    <w:name w:val="Nadpis 8 Char"/>
    <w:basedOn w:val="Predvolenpsmoodseku"/>
    <w:link w:val="Nadpis8"/>
    <w:rsid w:val="000F780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OdsekCalibri115Char">
    <w:name w:val="Odsek Calibri 115 Char"/>
    <w:locked/>
    <w:rsid w:val="00073831"/>
    <w:rPr>
      <w:rFonts w:ascii="Calibri" w:hAnsi="Calibri"/>
      <w:kern w:val="1"/>
      <w:sz w:val="22"/>
      <w:lang w:val="sk-SK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Krištofíkova</dc:creator>
  <cp:lastModifiedBy>M</cp:lastModifiedBy>
  <cp:revision>3</cp:revision>
  <dcterms:created xsi:type="dcterms:W3CDTF">2014-11-19T12:03:00Z</dcterms:created>
  <dcterms:modified xsi:type="dcterms:W3CDTF">2014-11-19T12:04:00Z</dcterms:modified>
</cp:coreProperties>
</file>