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056" w:rsidRPr="00D42D00" w:rsidRDefault="00AD7056" w:rsidP="00AD7056">
      <w:pPr>
        <w:jc w:val="right"/>
        <w:rPr>
          <w:rFonts w:cs="Calibri"/>
          <w:b/>
          <w:sz w:val="20"/>
          <w:szCs w:val="20"/>
          <w:lang w:eastAsia="en-US"/>
        </w:rPr>
      </w:pPr>
      <w:r>
        <w:rPr>
          <w:rFonts w:cs="Calibri"/>
          <w:b/>
          <w:sz w:val="20"/>
          <w:szCs w:val="20"/>
          <w:lang w:eastAsia="en-US"/>
        </w:rPr>
        <w:t>PRÍLOHA  V</w:t>
      </w:r>
    </w:p>
    <w:p w:rsidR="00AD7056" w:rsidRPr="0075211A" w:rsidRDefault="00AD7056" w:rsidP="00AD7056">
      <w:pPr>
        <w:spacing w:after="200"/>
        <w:jc w:val="center"/>
        <w:rPr>
          <w:rFonts w:ascii="Calibri" w:eastAsia="Calibri" w:hAnsi="Calibri"/>
          <w:b/>
          <w:sz w:val="28"/>
          <w:szCs w:val="28"/>
          <w:lang w:eastAsia="en-US"/>
        </w:rPr>
      </w:pPr>
      <w:r w:rsidRPr="0075211A">
        <w:rPr>
          <w:rFonts w:ascii="Calibri" w:eastAsia="Calibri" w:hAnsi="Calibri"/>
          <w:b/>
          <w:sz w:val="28"/>
          <w:szCs w:val="28"/>
          <w:lang w:eastAsia="en-US"/>
        </w:rPr>
        <w:t xml:space="preserve">Uplatňovanie horizontálnych princípov </w:t>
      </w:r>
    </w:p>
    <w:p w:rsidR="00AD7056" w:rsidRPr="007D76A5" w:rsidRDefault="00AD7056" w:rsidP="00AD7056">
      <w:pPr>
        <w:spacing w:after="200"/>
        <w:rPr>
          <w:rFonts w:ascii="Calibri" w:eastAsia="Calibri" w:hAnsi="Calibri"/>
          <w:b/>
          <w:szCs w:val="22"/>
          <w:lang w:val="en-US" w:eastAsia="en-US"/>
        </w:rPr>
      </w:pPr>
      <w:r w:rsidRPr="007D76A5">
        <w:rPr>
          <w:rFonts w:ascii="Calibri" w:eastAsia="Calibri" w:hAnsi="Calibri"/>
          <w:b/>
          <w:szCs w:val="22"/>
          <w:lang w:eastAsia="en-US"/>
        </w:rPr>
        <w:t>Horizon</w:t>
      </w:r>
      <w:r>
        <w:rPr>
          <w:rFonts w:ascii="Calibri" w:eastAsia="Calibri" w:hAnsi="Calibri"/>
          <w:b/>
          <w:szCs w:val="22"/>
          <w:lang w:eastAsia="en-US"/>
        </w:rPr>
        <w:t>t</w:t>
      </w:r>
      <w:r w:rsidRPr="007D76A5">
        <w:rPr>
          <w:rFonts w:ascii="Calibri" w:eastAsia="Calibri" w:hAnsi="Calibri"/>
          <w:b/>
          <w:szCs w:val="22"/>
          <w:lang w:eastAsia="en-US"/>
        </w:rPr>
        <w:t>álny princíp PODPORA ROVNOSTI</w:t>
      </w:r>
      <w:r>
        <w:rPr>
          <w:rFonts w:ascii="Calibri" w:eastAsia="Calibri" w:hAnsi="Calibri"/>
          <w:b/>
          <w:szCs w:val="22"/>
          <w:lang w:eastAsia="en-US"/>
        </w:rPr>
        <w:t xml:space="preserve"> MUŽOV A ŽIEN, NEDISKRIMIN</w:t>
      </w:r>
      <w:r>
        <w:rPr>
          <w:rFonts w:ascii="Calibri" w:eastAsia="Calibri" w:hAnsi="Calibri"/>
          <w:b/>
          <w:szCs w:val="22"/>
          <w:lang w:val="en-US" w:eastAsia="en-US"/>
        </w:rPr>
        <w:t xml:space="preserve">ÁCIE </w:t>
      </w:r>
      <w:r>
        <w:rPr>
          <w:rFonts w:ascii="Calibri" w:eastAsia="Calibri" w:hAnsi="Calibri"/>
          <w:b/>
          <w:szCs w:val="22"/>
          <w:lang w:eastAsia="en-US"/>
        </w:rPr>
        <w:t>A PRÍSTUPNOSTI</w:t>
      </w:r>
    </w:p>
    <w:p w:rsidR="00AD7056" w:rsidRDefault="00AD7056" w:rsidP="00AD7056">
      <w:pPr>
        <w:spacing w:before="240" w:after="120"/>
        <w:rPr>
          <w:rFonts w:ascii="Calibri" w:hAnsi="Calibri"/>
        </w:rPr>
      </w:pPr>
      <w:r w:rsidRPr="00AB3A74">
        <w:rPr>
          <w:rFonts w:ascii="Calibri" w:hAnsi="Calibri"/>
        </w:rPr>
        <w:t xml:space="preserve">Hlavným cieľom </w:t>
      </w:r>
      <w:r>
        <w:rPr>
          <w:rFonts w:ascii="Calibri" w:hAnsi="Calibri"/>
        </w:rPr>
        <w:t xml:space="preserve">horizontálneho princípu </w:t>
      </w:r>
      <w:r w:rsidRPr="0012795A">
        <w:rPr>
          <w:rFonts w:ascii="Calibri" w:hAnsi="Calibri"/>
        </w:rPr>
        <w:t>rodová rovnosť, nediskriminácia a prístupnosť</w:t>
      </w:r>
      <w:r w:rsidRPr="002371A2">
        <w:rPr>
          <w:rFonts w:ascii="Calibri" w:hAnsi="Calibri"/>
          <w:b/>
        </w:rPr>
        <w:t xml:space="preserve"> </w:t>
      </w:r>
      <w:r>
        <w:rPr>
          <w:rFonts w:ascii="Calibri" w:hAnsi="Calibri"/>
        </w:rPr>
        <w:t xml:space="preserve">vzhľadom k Programu rozvoja vidieka </w:t>
      </w:r>
      <w:r w:rsidRPr="00AB3A74">
        <w:rPr>
          <w:rFonts w:ascii="Calibri" w:hAnsi="Calibri"/>
        </w:rPr>
        <w:t xml:space="preserve">je zníženie horizontálnej a vertikálnej rodovej segregácie v odvetviach hospodárstva </w:t>
      </w:r>
      <w:r>
        <w:rPr>
          <w:rFonts w:ascii="Calibri" w:hAnsi="Calibri"/>
        </w:rPr>
        <w:t>ako aj zabezpečenie rovnosti</w:t>
      </w:r>
      <w:r w:rsidRPr="00AB3A74">
        <w:rPr>
          <w:rFonts w:ascii="Calibri" w:hAnsi="Calibri"/>
        </w:rPr>
        <w:t xml:space="preserve"> príležitostí v prístupe a využívaní infraštruktúry a služieb.</w:t>
      </w:r>
      <w:r>
        <w:rPr>
          <w:rFonts w:ascii="Calibri" w:hAnsi="Calibri"/>
        </w:rPr>
        <w:t xml:space="preserve"> Tieto ciele sa týkajú najmä špecifických cieľových skupín – žien, absolventov, ľudí starších ako 50 rokov, ľudí s vysokou možnosťou diskriminácie ako aj osôb </w:t>
      </w:r>
      <w:r w:rsidRPr="00AB3A74">
        <w:rPr>
          <w:rFonts w:ascii="Calibri" w:hAnsi="Calibri"/>
        </w:rPr>
        <w:t xml:space="preserve">so zdravotným postihnutím, pre ktoré je potrebné vytvorenie mimoriadnych podmienok prístupnosti (napr. bezbariérové architektonické prostredie, prístupné informácie a pod.). </w:t>
      </w:r>
    </w:p>
    <w:p w:rsidR="00AD7056" w:rsidRPr="00766451" w:rsidRDefault="00AD7056" w:rsidP="00AD7056">
      <w:pPr>
        <w:autoSpaceDE w:val="0"/>
        <w:autoSpaceDN w:val="0"/>
        <w:adjustRightInd w:val="0"/>
        <w:spacing w:after="120"/>
        <w:rPr>
          <w:rFonts w:ascii="Calibri" w:hAnsi="Calibri"/>
        </w:rPr>
      </w:pPr>
      <w:r w:rsidRPr="00766451">
        <w:rPr>
          <w:rFonts w:ascii="Calibri" w:hAnsi="Calibri"/>
        </w:rPr>
        <w:t>Vychádzajúc z Ústavy Slovenskej republiky, sú na našom území všetci ľudia slobodní a</w:t>
      </w:r>
      <w:r>
        <w:rPr>
          <w:rFonts w:ascii="Calibri" w:hAnsi="Calibri"/>
        </w:rPr>
        <w:t> </w:t>
      </w:r>
      <w:r w:rsidRPr="00766451">
        <w:rPr>
          <w:rFonts w:ascii="Calibri" w:hAnsi="Calibri"/>
        </w:rPr>
        <w:t>rovní</w:t>
      </w:r>
      <w:r>
        <w:rPr>
          <w:rFonts w:ascii="Calibri" w:hAnsi="Calibri"/>
        </w:rPr>
        <w:t xml:space="preserve"> </w:t>
      </w:r>
      <w:r w:rsidRPr="00766451">
        <w:rPr>
          <w:rFonts w:ascii="Calibri" w:hAnsi="Calibri"/>
        </w:rPr>
        <w:t>v dôstojnosti a právach. Základné práva a slobody sa zaručujú na území Slovenskej republiky</w:t>
      </w:r>
      <w:r>
        <w:rPr>
          <w:rFonts w:ascii="Calibri" w:hAnsi="Calibri"/>
        </w:rPr>
        <w:t xml:space="preserve"> </w:t>
      </w:r>
      <w:r w:rsidRPr="00766451">
        <w:rPr>
          <w:rFonts w:ascii="Calibri" w:hAnsi="Calibri"/>
        </w:rPr>
        <w:t>všetkým bez ohľadu na odlišné postavenie vymedzené v Ústave SR. Nikoho nemožno</w:t>
      </w:r>
      <w:r>
        <w:rPr>
          <w:rFonts w:ascii="Calibri" w:hAnsi="Calibri"/>
        </w:rPr>
        <w:t xml:space="preserve"> </w:t>
      </w:r>
      <w:r w:rsidRPr="00766451">
        <w:rPr>
          <w:rFonts w:ascii="Calibri" w:hAnsi="Calibri"/>
        </w:rPr>
        <w:t>z týchto dôvodov poškodzovať, zvýhodňovať alebo znevýhodňovať.</w:t>
      </w:r>
    </w:p>
    <w:p w:rsidR="00AD7056" w:rsidRPr="00766451" w:rsidRDefault="00AD7056" w:rsidP="00AD7056">
      <w:pPr>
        <w:autoSpaceDE w:val="0"/>
        <w:autoSpaceDN w:val="0"/>
        <w:adjustRightInd w:val="0"/>
        <w:rPr>
          <w:rFonts w:ascii="Calibri" w:hAnsi="Calibri"/>
        </w:rPr>
      </w:pPr>
      <w:r w:rsidRPr="00766451">
        <w:rPr>
          <w:rFonts w:ascii="Calibri" w:hAnsi="Calibri"/>
        </w:rPr>
        <w:t>Podpora základných práv, nediskriminácie a rovnosti príležitostí je tiež jedným zo základných</w:t>
      </w:r>
      <w:r>
        <w:rPr>
          <w:rFonts w:ascii="Calibri" w:hAnsi="Calibri"/>
        </w:rPr>
        <w:t xml:space="preserve"> </w:t>
      </w:r>
      <w:r w:rsidRPr="00766451">
        <w:rPr>
          <w:rFonts w:ascii="Calibri" w:hAnsi="Calibri"/>
        </w:rPr>
        <w:t>princípov uplatňovaných v EÚ. Rovnosť príležitostí je súčasťou pilierov Európskej stratégie</w:t>
      </w:r>
      <w:r>
        <w:rPr>
          <w:rFonts w:ascii="Calibri" w:hAnsi="Calibri"/>
        </w:rPr>
        <w:t xml:space="preserve"> </w:t>
      </w:r>
      <w:r w:rsidRPr="00766451">
        <w:rPr>
          <w:rFonts w:ascii="Calibri" w:hAnsi="Calibri"/>
        </w:rPr>
        <w:t>zamestnanosti a Európskej rámcovej stratégie nediskriminácie a rovnakých príležitosti pre</w:t>
      </w:r>
      <w:r>
        <w:rPr>
          <w:rFonts w:ascii="Calibri" w:hAnsi="Calibri"/>
        </w:rPr>
        <w:t xml:space="preserve"> </w:t>
      </w:r>
      <w:r w:rsidRPr="00766451">
        <w:rPr>
          <w:rFonts w:ascii="Calibri" w:hAnsi="Calibri"/>
        </w:rPr>
        <w:t>všetkých. Princíp rovnosti príležitostí znamená potieranie diskriminácie na základe pohlavia,</w:t>
      </w:r>
      <w:r>
        <w:rPr>
          <w:rFonts w:ascii="Calibri" w:hAnsi="Calibri"/>
        </w:rPr>
        <w:t xml:space="preserve"> </w:t>
      </w:r>
      <w:r w:rsidRPr="00766451">
        <w:rPr>
          <w:rFonts w:ascii="Calibri" w:hAnsi="Calibri"/>
        </w:rPr>
        <w:t>rasy, etnického pôvodu, náboženského vyznania, viery, zdravotného postihnutia, veku, či</w:t>
      </w:r>
      <w:r>
        <w:rPr>
          <w:rFonts w:ascii="Calibri" w:hAnsi="Calibri"/>
        </w:rPr>
        <w:t xml:space="preserve"> </w:t>
      </w:r>
      <w:r w:rsidRPr="00766451">
        <w:rPr>
          <w:rFonts w:ascii="Calibri" w:hAnsi="Calibri"/>
        </w:rPr>
        <w:t>sexuálnej orientácie.</w:t>
      </w:r>
    </w:p>
    <w:p w:rsidR="00AD7056" w:rsidRDefault="00AD7056" w:rsidP="00AD7056">
      <w:pPr>
        <w:spacing w:before="240"/>
        <w:rPr>
          <w:rFonts w:ascii="Calibri" w:hAnsi="Calibri"/>
          <w:b/>
        </w:rPr>
      </w:pPr>
      <w:r w:rsidRPr="00766451">
        <w:rPr>
          <w:rFonts w:ascii="Calibri" w:hAnsi="Calibri"/>
          <w:b/>
        </w:rPr>
        <w:t>Podpora rovnosti mužov a</w:t>
      </w:r>
      <w:r>
        <w:rPr>
          <w:rFonts w:ascii="Calibri" w:hAnsi="Calibri"/>
          <w:b/>
        </w:rPr>
        <w:t> </w:t>
      </w:r>
      <w:r w:rsidRPr="00766451">
        <w:rPr>
          <w:rFonts w:ascii="Calibri" w:hAnsi="Calibri"/>
          <w:b/>
        </w:rPr>
        <w:t>žien</w:t>
      </w:r>
    </w:p>
    <w:p w:rsidR="00AD7056" w:rsidRPr="00431D95" w:rsidRDefault="00AD7056" w:rsidP="00AD7056">
      <w:pPr>
        <w:autoSpaceDE w:val="0"/>
        <w:autoSpaceDN w:val="0"/>
        <w:adjustRightInd w:val="0"/>
        <w:spacing w:after="120"/>
        <w:rPr>
          <w:rFonts w:ascii="Calibri" w:hAnsi="Calibri"/>
        </w:rPr>
      </w:pPr>
      <w:r w:rsidRPr="00766451">
        <w:rPr>
          <w:rFonts w:ascii="Calibri" w:hAnsi="Calibri"/>
        </w:rPr>
        <w:t xml:space="preserve">Všeobecný základ princípu rovnosti príležitostí žien a mužov </w:t>
      </w:r>
      <w:r>
        <w:rPr>
          <w:rFonts w:ascii="Calibri" w:hAnsi="Calibri"/>
        </w:rPr>
        <w:t>je uvedený</w:t>
      </w:r>
      <w:r w:rsidRPr="00766451">
        <w:rPr>
          <w:rFonts w:ascii="Calibri" w:hAnsi="Calibri"/>
        </w:rPr>
        <w:t xml:space="preserve"> v čl. 12 Ústavy SR,</w:t>
      </w:r>
      <w:r>
        <w:rPr>
          <w:rFonts w:ascii="Calibri" w:hAnsi="Calibri"/>
        </w:rPr>
        <w:t xml:space="preserve"> </w:t>
      </w:r>
      <w:r w:rsidRPr="00766451">
        <w:rPr>
          <w:rFonts w:ascii="Calibri" w:hAnsi="Calibri"/>
        </w:rPr>
        <w:t>ktorý je ďalej rozpracovaný v pracovno-právnej legislatíve Zákonníka práce 433/2003.</w:t>
      </w:r>
      <w:r>
        <w:rPr>
          <w:rFonts w:ascii="Calibri" w:hAnsi="Calibri"/>
        </w:rPr>
        <w:t xml:space="preserve"> </w:t>
      </w:r>
      <w:r w:rsidRPr="0095603C">
        <w:rPr>
          <w:rFonts w:ascii="Calibri" w:hAnsi="Calibri"/>
        </w:rPr>
        <w:t>Naplnenie princípu rodovej rovnosti patrí k základnému cieľu Európsk</w:t>
      </w:r>
      <w:r>
        <w:rPr>
          <w:rFonts w:ascii="Calibri" w:hAnsi="Calibri"/>
        </w:rPr>
        <w:t>ej únie</w:t>
      </w:r>
      <w:r w:rsidRPr="0095603C">
        <w:rPr>
          <w:rFonts w:ascii="Calibri" w:hAnsi="Calibri"/>
        </w:rPr>
        <w:t xml:space="preserve"> a ako taký patrí medzi hlavné ciele</w:t>
      </w:r>
      <w:r>
        <w:rPr>
          <w:rFonts w:ascii="Calibri" w:hAnsi="Calibri"/>
        </w:rPr>
        <w:t xml:space="preserve"> </w:t>
      </w:r>
      <w:r w:rsidRPr="0095603C">
        <w:rPr>
          <w:rFonts w:ascii="Calibri" w:hAnsi="Calibri"/>
        </w:rPr>
        <w:t>štrukturálnych, kohéznych a neštrukturálnych fondov. Podľa čl. 2 Amsterdamskej zmluvy je</w:t>
      </w:r>
      <w:r>
        <w:rPr>
          <w:rFonts w:ascii="Calibri" w:hAnsi="Calibri"/>
        </w:rPr>
        <w:t xml:space="preserve"> </w:t>
      </w:r>
      <w:r w:rsidRPr="0095603C">
        <w:rPr>
          <w:rFonts w:ascii="Calibri" w:hAnsi="Calibri"/>
        </w:rPr>
        <w:t>úlohou Európskeho spoločenstva dosiahnuť rovnaké postavenie žien a mužov v</w:t>
      </w:r>
      <w:r>
        <w:rPr>
          <w:rFonts w:ascii="Calibri" w:hAnsi="Calibri"/>
        </w:rPr>
        <w:t> </w:t>
      </w:r>
      <w:r w:rsidRPr="0095603C">
        <w:rPr>
          <w:rFonts w:ascii="Calibri" w:hAnsi="Calibri"/>
        </w:rPr>
        <w:t>spoločnosti</w:t>
      </w:r>
      <w:r>
        <w:rPr>
          <w:rFonts w:ascii="Calibri" w:hAnsi="Calibri"/>
        </w:rPr>
        <w:t xml:space="preserve"> </w:t>
      </w:r>
      <w:r w:rsidRPr="0095603C">
        <w:rPr>
          <w:rFonts w:ascii="Calibri" w:hAnsi="Calibri"/>
        </w:rPr>
        <w:t>a podľa čl. 3 je stanovená povinnosť odstraňovať nerovnosti a presadzovať rodovú rovnosť vo</w:t>
      </w:r>
      <w:r>
        <w:rPr>
          <w:rFonts w:ascii="Calibri" w:hAnsi="Calibri"/>
        </w:rPr>
        <w:t xml:space="preserve"> </w:t>
      </w:r>
      <w:r w:rsidRPr="0095603C">
        <w:rPr>
          <w:rFonts w:ascii="Calibri" w:hAnsi="Calibri"/>
        </w:rPr>
        <w:t xml:space="preserve">všetkých aktivitách metódou </w:t>
      </w:r>
      <w:proofErr w:type="spellStart"/>
      <w:r w:rsidRPr="0095603C">
        <w:rPr>
          <w:rFonts w:ascii="Calibri" w:hAnsi="Calibri"/>
        </w:rPr>
        <w:t>gender</w:t>
      </w:r>
      <w:proofErr w:type="spellEnd"/>
      <w:r w:rsidRPr="0095603C">
        <w:rPr>
          <w:rFonts w:ascii="Calibri" w:hAnsi="Calibri"/>
        </w:rPr>
        <w:t xml:space="preserve"> </w:t>
      </w:r>
      <w:proofErr w:type="spellStart"/>
      <w:r w:rsidRPr="0095603C">
        <w:rPr>
          <w:rFonts w:ascii="Calibri" w:hAnsi="Calibri"/>
        </w:rPr>
        <w:t>mainstreamingu</w:t>
      </w:r>
      <w:proofErr w:type="spellEnd"/>
      <w:r w:rsidRPr="0095603C">
        <w:rPr>
          <w:rFonts w:ascii="Calibri" w:hAnsi="Calibri"/>
        </w:rPr>
        <w:t xml:space="preserve">. </w:t>
      </w:r>
      <w:r w:rsidRPr="00431D95">
        <w:rPr>
          <w:rFonts w:ascii="Calibri" w:hAnsi="Calibri"/>
        </w:rPr>
        <w:t>Stratégia „</w:t>
      </w:r>
      <w:proofErr w:type="spellStart"/>
      <w:r w:rsidRPr="00431D95">
        <w:rPr>
          <w:rFonts w:ascii="Calibri" w:hAnsi="Calibri"/>
        </w:rPr>
        <w:t>gender</w:t>
      </w:r>
      <w:proofErr w:type="spellEnd"/>
      <w:r w:rsidRPr="00431D95">
        <w:rPr>
          <w:rFonts w:ascii="Calibri" w:hAnsi="Calibri"/>
        </w:rPr>
        <w:t xml:space="preserve"> </w:t>
      </w:r>
      <w:proofErr w:type="spellStart"/>
      <w:r w:rsidRPr="00431D95">
        <w:rPr>
          <w:rFonts w:ascii="Calibri" w:hAnsi="Calibri"/>
        </w:rPr>
        <w:t>mainstreaming</w:t>
      </w:r>
      <w:proofErr w:type="spellEnd"/>
      <w:r w:rsidRPr="00431D95">
        <w:rPr>
          <w:rFonts w:ascii="Calibri" w:hAnsi="Calibri"/>
        </w:rPr>
        <w:t>“ znamená začlenenie rodového pohľadu</w:t>
      </w:r>
      <w:r>
        <w:rPr>
          <w:rFonts w:ascii="Calibri" w:hAnsi="Calibri"/>
        </w:rPr>
        <w:t xml:space="preserve"> </w:t>
      </w:r>
      <w:r w:rsidRPr="00431D95">
        <w:rPr>
          <w:rFonts w:ascii="Calibri" w:hAnsi="Calibri"/>
        </w:rPr>
        <w:t xml:space="preserve">do všetkých verejných politík na všetkých úrovniach správy spoločnosti. </w:t>
      </w:r>
      <w:r w:rsidRPr="0095603C">
        <w:rPr>
          <w:rFonts w:ascii="Calibri" w:hAnsi="Calibri"/>
        </w:rPr>
        <w:t>Je to postup, pri ktorom všetky</w:t>
      </w:r>
      <w:r>
        <w:rPr>
          <w:rFonts w:ascii="Calibri" w:hAnsi="Calibri"/>
        </w:rPr>
        <w:t xml:space="preserve"> </w:t>
      </w:r>
      <w:r w:rsidRPr="0095603C">
        <w:rPr>
          <w:rFonts w:ascii="Calibri" w:hAnsi="Calibri"/>
        </w:rPr>
        <w:t>koncepčné, strategické, rozhodovacie a vyhodnocovacie procesy vo všetkých fázach prípravy</w:t>
      </w:r>
      <w:r>
        <w:rPr>
          <w:rFonts w:ascii="Calibri" w:hAnsi="Calibri"/>
        </w:rPr>
        <w:t xml:space="preserve"> </w:t>
      </w:r>
      <w:r w:rsidRPr="0095603C">
        <w:rPr>
          <w:rFonts w:ascii="Calibri" w:hAnsi="Calibri"/>
        </w:rPr>
        <w:t>a realizácie sú podriadené hľadisku rodovej rovnosti</w:t>
      </w:r>
      <w:r>
        <w:rPr>
          <w:rFonts w:ascii="Calibri" w:hAnsi="Calibri"/>
        </w:rPr>
        <w:t xml:space="preserve">. </w:t>
      </w:r>
      <w:r w:rsidRPr="00431D95">
        <w:rPr>
          <w:rFonts w:ascii="Calibri" w:hAnsi="Calibri"/>
        </w:rPr>
        <w:t>Politika rodovej rovnosti je pokladaná za dôležitú súčasť demokracie,</w:t>
      </w:r>
      <w:r>
        <w:rPr>
          <w:rFonts w:ascii="Calibri" w:hAnsi="Calibri"/>
        </w:rPr>
        <w:t xml:space="preserve"> </w:t>
      </w:r>
      <w:r w:rsidRPr="00431D95">
        <w:rPr>
          <w:rFonts w:ascii="Calibri" w:hAnsi="Calibri"/>
        </w:rPr>
        <w:t>vyrovnaného a trvalo udržateľného rozvoja a Európska únia ju považuje za jednu zo svojich</w:t>
      </w:r>
      <w:r>
        <w:rPr>
          <w:rFonts w:ascii="Calibri" w:hAnsi="Calibri"/>
        </w:rPr>
        <w:t xml:space="preserve"> </w:t>
      </w:r>
      <w:r w:rsidRPr="00431D95">
        <w:rPr>
          <w:rFonts w:ascii="Calibri" w:hAnsi="Calibri"/>
        </w:rPr>
        <w:t xml:space="preserve">politických priorít. </w:t>
      </w:r>
    </w:p>
    <w:p w:rsidR="00AD7056" w:rsidRPr="00431D95" w:rsidRDefault="00AD7056" w:rsidP="00AD7056">
      <w:pPr>
        <w:autoSpaceDE w:val="0"/>
        <w:autoSpaceDN w:val="0"/>
        <w:adjustRightInd w:val="0"/>
        <w:rPr>
          <w:rFonts w:ascii="Calibri" w:hAnsi="Calibri"/>
        </w:rPr>
      </w:pPr>
      <w:r w:rsidRPr="00431D95">
        <w:rPr>
          <w:rFonts w:ascii="Calibri" w:hAnsi="Calibri"/>
        </w:rPr>
        <w:t xml:space="preserve">Európsky poľnohospodársky </w:t>
      </w:r>
      <w:r>
        <w:rPr>
          <w:rFonts w:ascii="Calibri" w:hAnsi="Calibri"/>
        </w:rPr>
        <w:t xml:space="preserve">fond pre rozvoj vidieka (EPFRV) </w:t>
      </w:r>
      <w:r w:rsidRPr="00431D95">
        <w:rPr>
          <w:rFonts w:ascii="Calibri" w:hAnsi="Calibri"/>
        </w:rPr>
        <w:t xml:space="preserve">môže zlepšiť situáciu žien v poľnohospodárskom odvetví. U žien je väčšia pravdepodobnosť toho, že ich pracovná kariéra, vzhľadom na ich rodové roly, bude kratšia alebo sa preruší, čím budú mať menej možností realizovať svoje práva. Zvyšuje sa tým riziko chudoby najmä v prípade osamelých rodičov, starších žien alebo žien, ktoré sú zamestnané v rodinných firmách ako napr. v poľnohospodárstve. </w:t>
      </w:r>
    </w:p>
    <w:p w:rsidR="00AD7056" w:rsidRPr="0095603C" w:rsidRDefault="00AD7056" w:rsidP="00AD7056">
      <w:pPr>
        <w:spacing w:before="240"/>
        <w:rPr>
          <w:rFonts w:ascii="Calibri" w:hAnsi="Calibri"/>
          <w:b/>
        </w:rPr>
      </w:pPr>
      <w:r w:rsidRPr="0095603C">
        <w:rPr>
          <w:rFonts w:ascii="Calibri" w:hAnsi="Calibri"/>
          <w:b/>
        </w:rPr>
        <w:t>Nediskriminácia a prístupnosť</w:t>
      </w:r>
    </w:p>
    <w:p w:rsidR="00AD7056" w:rsidRPr="0095603C" w:rsidRDefault="00AD7056" w:rsidP="00AD7056">
      <w:pPr>
        <w:autoSpaceDE w:val="0"/>
        <w:autoSpaceDN w:val="0"/>
        <w:adjustRightInd w:val="0"/>
        <w:rPr>
          <w:rFonts w:ascii="Calibri" w:hAnsi="Calibri"/>
        </w:rPr>
      </w:pPr>
      <w:r w:rsidRPr="0095603C">
        <w:rPr>
          <w:rFonts w:ascii="Calibri" w:hAnsi="Calibri"/>
        </w:rPr>
        <w:t>Rovnosť príležitostí je „strategický cieľ, pri dosahovaní ktorého sa zameriavame na</w:t>
      </w:r>
      <w:r>
        <w:rPr>
          <w:rFonts w:ascii="Calibri" w:hAnsi="Calibri"/>
        </w:rPr>
        <w:t xml:space="preserve"> </w:t>
      </w:r>
      <w:r w:rsidRPr="0095603C">
        <w:rPr>
          <w:rFonts w:ascii="Calibri" w:hAnsi="Calibri"/>
        </w:rPr>
        <w:t>vytváranie takých podmienok, ktoré by viedli k posilňovaniu rovnakého</w:t>
      </w:r>
      <w:r>
        <w:rPr>
          <w:rFonts w:ascii="Calibri" w:hAnsi="Calibri"/>
        </w:rPr>
        <w:t xml:space="preserve"> </w:t>
      </w:r>
      <w:r w:rsidRPr="0095603C">
        <w:rPr>
          <w:rFonts w:ascii="Calibri" w:hAnsi="Calibri"/>
        </w:rPr>
        <w:t>prístupu všetkých do určitého sociálneho prostredia (napr. prístupu k zamestnaniu,</w:t>
      </w:r>
      <w:r>
        <w:rPr>
          <w:rFonts w:ascii="Calibri" w:hAnsi="Calibri"/>
        </w:rPr>
        <w:t xml:space="preserve"> </w:t>
      </w:r>
      <w:r w:rsidRPr="0095603C">
        <w:rPr>
          <w:rFonts w:ascii="Calibri" w:hAnsi="Calibri"/>
        </w:rPr>
        <w:t>vzdelaniu, zdravotnej starostlivosti atď.), resp. k</w:t>
      </w:r>
      <w:r>
        <w:rPr>
          <w:rFonts w:ascii="Calibri" w:hAnsi="Calibri"/>
        </w:rPr>
        <w:t> </w:t>
      </w:r>
      <w:r w:rsidRPr="0095603C">
        <w:rPr>
          <w:rFonts w:ascii="Calibri" w:hAnsi="Calibri"/>
        </w:rPr>
        <w:t>zabezpečeniu</w:t>
      </w:r>
      <w:r>
        <w:rPr>
          <w:rFonts w:ascii="Calibri" w:hAnsi="Calibri"/>
        </w:rPr>
        <w:t xml:space="preserve"> </w:t>
      </w:r>
      <w:r w:rsidRPr="0095603C">
        <w:rPr>
          <w:rFonts w:ascii="Calibri" w:hAnsi="Calibri"/>
        </w:rPr>
        <w:t>rovnakej dostupnosti verejných služieb a zdrojov pre všetkých. Cieľom je</w:t>
      </w:r>
      <w:r>
        <w:rPr>
          <w:rFonts w:ascii="Calibri" w:hAnsi="Calibri"/>
        </w:rPr>
        <w:t xml:space="preserve"> </w:t>
      </w:r>
      <w:r w:rsidRPr="0095603C">
        <w:rPr>
          <w:rFonts w:ascii="Calibri" w:hAnsi="Calibri"/>
        </w:rPr>
        <w:t>teda odstraňovať bariéry, ktoré vedú k izolácii a vylučovaniu ľudí z verejného,</w:t>
      </w:r>
      <w:r>
        <w:rPr>
          <w:rFonts w:ascii="Calibri" w:hAnsi="Calibri"/>
        </w:rPr>
        <w:t xml:space="preserve"> </w:t>
      </w:r>
      <w:r w:rsidRPr="0095603C">
        <w:rPr>
          <w:rFonts w:ascii="Calibri" w:hAnsi="Calibri"/>
        </w:rPr>
        <w:t>politického, spoločenského, pracovného života, a to na základe takých</w:t>
      </w:r>
      <w:r>
        <w:rPr>
          <w:rFonts w:ascii="Calibri" w:hAnsi="Calibri"/>
        </w:rPr>
        <w:t xml:space="preserve"> </w:t>
      </w:r>
      <w:r w:rsidRPr="0095603C">
        <w:rPr>
          <w:rFonts w:ascii="Calibri" w:hAnsi="Calibri"/>
        </w:rPr>
        <w:t>sociálnych kategórií, ako je pohlavie, rod, vek, rasa, etnikum, vierovyznanie</w:t>
      </w:r>
      <w:r>
        <w:rPr>
          <w:rFonts w:ascii="Calibri" w:hAnsi="Calibri"/>
        </w:rPr>
        <w:t xml:space="preserve"> </w:t>
      </w:r>
      <w:r w:rsidRPr="0095603C">
        <w:rPr>
          <w:rFonts w:ascii="Calibri" w:hAnsi="Calibri"/>
        </w:rPr>
        <w:t>alebo náboženstvo, sexuálna orientácia, zdravotné postihnutie atď.“ Zároveň</w:t>
      </w:r>
    </w:p>
    <w:p w:rsidR="00AD7056" w:rsidRDefault="00AD7056" w:rsidP="00AD7056">
      <w:pPr>
        <w:autoSpaceDE w:val="0"/>
        <w:autoSpaceDN w:val="0"/>
        <w:adjustRightInd w:val="0"/>
        <w:spacing w:after="120"/>
        <w:rPr>
          <w:rFonts w:ascii="Calibri" w:hAnsi="Calibri"/>
        </w:rPr>
      </w:pPr>
      <w:r w:rsidRPr="0095603C">
        <w:rPr>
          <w:rFonts w:ascii="Calibri" w:hAnsi="Calibri"/>
        </w:rPr>
        <w:lastRenderedPageBreak/>
        <w:t>sa kladie dôraz na predchádzanie diskriminácii na základe týchto znakov</w:t>
      </w:r>
      <w:r>
        <w:rPr>
          <w:rFonts w:ascii="Calibri" w:hAnsi="Calibri"/>
        </w:rPr>
        <w:t xml:space="preserve"> </w:t>
      </w:r>
      <w:r w:rsidRPr="0095603C">
        <w:rPr>
          <w:rFonts w:ascii="Calibri" w:hAnsi="Calibri"/>
        </w:rPr>
        <w:t>a jej elimináciu, pričom rovnosť príležitostí neznamená len zabezpečenie</w:t>
      </w:r>
      <w:r>
        <w:rPr>
          <w:rFonts w:ascii="Calibri" w:hAnsi="Calibri"/>
        </w:rPr>
        <w:t xml:space="preserve"> </w:t>
      </w:r>
      <w:r w:rsidRPr="0095603C">
        <w:rPr>
          <w:rFonts w:ascii="Calibri" w:hAnsi="Calibri"/>
        </w:rPr>
        <w:t>rovnakých podmienok, ale najmä vytvorenie podmienok, ktoré zohľadňujú</w:t>
      </w:r>
      <w:r>
        <w:rPr>
          <w:rFonts w:ascii="Calibri" w:hAnsi="Calibri"/>
        </w:rPr>
        <w:t xml:space="preserve"> </w:t>
      </w:r>
      <w:r w:rsidRPr="0095603C">
        <w:rPr>
          <w:rFonts w:ascii="Calibri" w:hAnsi="Calibri"/>
        </w:rPr>
        <w:t>špecifické potreby a skúsenosti znevýhodnených skupín.</w:t>
      </w:r>
      <w:r>
        <w:rPr>
          <w:rStyle w:val="Odkaznapoznmkupodiarou"/>
          <w:rFonts w:ascii="Calibri" w:hAnsi="Calibri"/>
        </w:rPr>
        <w:footnoteReference w:id="1"/>
      </w:r>
    </w:p>
    <w:p w:rsidR="00AD7056" w:rsidRPr="00207ECE" w:rsidRDefault="00AD7056" w:rsidP="00AD7056">
      <w:pPr>
        <w:spacing w:after="120"/>
        <w:rPr>
          <w:rFonts w:ascii="Calibri" w:hAnsi="Calibri"/>
        </w:rPr>
      </w:pPr>
      <w:r w:rsidRPr="00207ECE">
        <w:rPr>
          <w:rFonts w:ascii="Calibri" w:hAnsi="Calibri"/>
        </w:rPr>
        <w:t>Pre účinné uplatňovanie horizontálneho princípu rodová rovnosť, nediskriminácia a prístupnosť bude možn</w:t>
      </w:r>
      <w:r>
        <w:rPr>
          <w:rFonts w:ascii="Calibri" w:hAnsi="Calibri"/>
        </w:rPr>
        <w:t>é</w:t>
      </w:r>
      <w:r w:rsidRPr="00207ECE">
        <w:rPr>
          <w:rFonts w:ascii="Calibri" w:hAnsi="Calibri"/>
        </w:rPr>
        <w:t xml:space="preserve"> v hodnotiacom a výberovom procese žiadostí o finančný príspevok stanoviť diskvalifikačné kritérium a to špecifikovaním konkrétnych podmienok pri príprave podporných dokumentov relevantných opatrení PRV. Uplatňovanie horizontálnej priority sa bude najviac zameriavať na oblasť </w:t>
      </w:r>
      <w:proofErr w:type="spellStart"/>
      <w:r w:rsidRPr="00207ECE">
        <w:rPr>
          <w:rFonts w:ascii="Calibri" w:hAnsi="Calibri"/>
        </w:rPr>
        <w:t>zamestnateľnosti</w:t>
      </w:r>
      <w:proofErr w:type="spellEnd"/>
      <w:r w:rsidRPr="00207ECE">
        <w:rPr>
          <w:rFonts w:ascii="Calibri" w:hAnsi="Calibri"/>
        </w:rPr>
        <w:t xml:space="preserve"> vzhľadom na určené cieľové skupiny. </w:t>
      </w:r>
    </w:p>
    <w:p w:rsidR="00AD7056" w:rsidRPr="00207ECE" w:rsidRDefault="00AD7056" w:rsidP="00AD7056">
      <w:pPr>
        <w:rPr>
          <w:rFonts w:ascii="Calibri" w:hAnsi="Calibri"/>
        </w:rPr>
      </w:pPr>
      <w:r w:rsidRPr="00207ECE">
        <w:rPr>
          <w:rFonts w:ascii="Calibri" w:hAnsi="Calibri"/>
        </w:rPr>
        <w:t xml:space="preserve">Riadiaci orgán PRV zabezpečí monitorovanie uplatňovania horizontálnych princípov prostredníctvom výročných správ. Analytickú, hodnotiacu, strategickú a legislatívnu činnosť pre uplatňovanie horizontálnych princípov podpory rovnosti mužov a žien, nediskriminácia a prístupnosť bude na národnej úrovni zabezpečovať Ministerstvo práce, sociálnych vecí a rodiny SR (ďalej len „MPSVR SR“), ktoré je zodpovedné za štátnu politiku v týchto oblastiach a ktoré bude zodpovedné za definovanie podmienok poskytnutia pomoci súvisiacej so zabezpečením aplikovania týchto horizontálnych princípov a spôsobu ich overovania. </w:t>
      </w:r>
    </w:p>
    <w:p w:rsidR="00AD7056" w:rsidRDefault="00AD7056" w:rsidP="00AD7056">
      <w:pPr>
        <w:spacing w:after="200"/>
        <w:rPr>
          <w:rFonts w:ascii="Calibri" w:eastAsia="Calibri" w:hAnsi="Calibri"/>
          <w:b/>
          <w:szCs w:val="22"/>
          <w:lang w:eastAsia="en-US"/>
        </w:rPr>
      </w:pPr>
    </w:p>
    <w:p w:rsidR="00AD7056" w:rsidRPr="007D76A5" w:rsidRDefault="00AD7056" w:rsidP="00AD7056">
      <w:pPr>
        <w:spacing w:after="200"/>
        <w:rPr>
          <w:rFonts w:ascii="Calibri" w:eastAsia="Calibri" w:hAnsi="Calibri"/>
          <w:b/>
          <w:szCs w:val="22"/>
          <w:lang w:eastAsia="en-US"/>
        </w:rPr>
      </w:pPr>
      <w:r w:rsidRPr="007D76A5">
        <w:rPr>
          <w:rFonts w:ascii="Calibri" w:eastAsia="Calibri" w:hAnsi="Calibri"/>
          <w:b/>
          <w:szCs w:val="22"/>
          <w:lang w:eastAsia="en-US"/>
        </w:rPr>
        <w:t xml:space="preserve">Horizontálny princíp </w:t>
      </w:r>
      <w:r>
        <w:rPr>
          <w:rFonts w:ascii="Calibri" w:eastAsia="Calibri" w:hAnsi="Calibri"/>
          <w:b/>
          <w:szCs w:val="22"/>
          <w:lang w:eastAsia="en-US"/>
        </w:rPr>
        <w:t xml:space="preserve">TRVALO </w:t>
      </w:r>
      <w:r w:rsidRPr="007D76A5">
        <w:rPr>
          <w:rFonts w:ascii="Calibri" w:eastAsia="Calibri" w:hAnsi="Calibri"/>
          <w:b/>
          <w:szCs w:val="22"/>
          <w:lang w:eastAsia="en-US"/>
        </w:rPr>
        <w:t>UDRŽA</w:t>
      </w:r>
      <w:r>
        <w:rPr>
          <w:rFonts w:ascii="Calibri" w:eastAsia="Calibri" w:hAnsi="Calibri"/>
          <w:b/>
          <w:szCs w:val="22"/>
          <w:lang w:eastAsia="en-US"/>
        </w:rPr>
        <w:t>TEĽNÝ ROZVOJ</w:t>
      </w:r>
    </w:p>
    <w:p w:rsidR="00AD7056" w:rsidRDefault="00AD7056" w:rsidP="00AD7056">
      <w:pPr>
        <w:spacing w:after="200"/>
        <w:rPr>
          <w:rFonts w:ascii="Calibri" w:eastAsia="Calibri" w:hAnsi="Calibri"/>
          <w:szCs w:val="22"/>
          <w:lang w:eastAsia="en-US"/>
        </w:rPr>
      </w:pPr>
      <w:r w:rsidRPr="00D578E2">
        <w:rPr>
          <w:rFonts w:ascii="Calibri" w:eastAsia="Calibri" w:hAnsi="Calibri"/>
          <w:szCs w:val="22"/>
          <w:lang w:eastAsia="en-US"/>
        </w:rPr>
        <w:t xml:space="preserve">Programy spolufinancované z EŠIF musia dodržiavať aj horizontálny princíp </w:t>
      </w:r>
      <w:r w:rsidRPr="0075211A">
        <w:rPr>
          <w:rFonts w:ascii="Calibri" w:eastAsia="Calibri" w:hAnsi="Calibri"/>
          <w:i/>
          <w:szCs w:val="22"/>
          <w:lang w:eastAsia="en-US"/>
        </w:rPr>
        <w:t>trvalo udržateľný rozvoj</w:t>
      </w:r>
      <w:r>
        <w:rPr>
          <w:rFonts w:ascii="Calibri" w:eastAsia="Calibri" w:hAnsi="Calibri"/>
          <w:szCs w:val="22"/>
          <w:lang w:eastAsia="en-US"/>
        </w:rPr>
        <w:t xml:space="preserve"> </w:t>
      </w:r>
      <w:r w:rsidRPr="00D578E2">
        <w:rPr>
          <w:rFonts w:ascii="Calibri" w:eastAsia="Calibri" w:hAnsi="Calibri"/>
          <w:szCs w:val="22"/>
          <w:lang w:eastAsia="en-US"/>
        </w:rPr>
        <w:t xml:space="preserve">(ďalej aj HP TUR). Jeho hlavným cieľom je zabezpečenie environmentálnej, ekonomickej a sociálnej udržateľnosti rastu s osobitným dôrazom na ochranu a zlepšenie životného prostredia pri zohľadnení zásady „znečisťovateľ platí“. Ciele  HP TUR tak plne korešpondujú s prioritami stratégie Európa 2020 – udržateľným, inteligentným a </w:t>
      </w:r>
      <w:proofErr w:type="spellStart"/>
      <w:r w:rsidRPr="00D578E2">
        <w:rPr>
          <w:rFonts w:ascii="Calibri" w:eastAsia="Calibri" w:hAnsi="Calibri"/>
          <w:szCs w:val="22"/>
          <w:lang w:eastAsia="en-US"/>
        </w:rPr>
        <w:t>inkluzívnym</w:t>
      </w:r>
      <w:proofErr w:type="spellEnd"/>
      <w:r w:rsidRPr="00D578E2">
        <w:rPr>
          <w:rFonts w:ascii="Calibri" w:eastAsia="Calibri" w:hAnsi="Calibri"/>
          <w:szCs w:val="22"/>
          <w:lang w:eastAsia="en-US"/>
        </w:rPr>
        <w:t xml:space="preserve"> rastom.</w:t>
      </w:r>
    </w:p>
    <w:p w:rsidR="00AD7056" w:rsidRDefault="00AD7056" w:rsidP="00AD7056">
      <w:pPr>
        <w:pStyle w:val="Vchodzie"/>
        <w:spacing w:line="240" w:lineRule="auto"/>
        <w:rPr>
          <w:bCs/>
          <w:iCs/>
          <w:szCs w:val="22"/>
        </w:rPr>
      </w:pPr>
      <w:r w:rsidRPr="00CB7030">
        <w:rPr>
          <w:rFonts w:cs="Times New Roman"/>
          <w:bCs/>
          <w:iCs/>
          <w:color w:val="auto"/>
          <w:szCs w:val="22"/>
        </w:rPr>
        <w:t>Zásada</w:t>
      </w:r>
      <w:r w:rsidRPr="00CB7030">
        <w:rPr>
          <w:rFonts w:cs="Times New Roman"/>
          <w:bCs/>
          <w:iCs/>
          <w:color w:val="auto"/>
        </w:rPr>
        <w:t xml:space="preserve"> „znečisťovateľ platí“ je obsiahnutá v legislatíve SR,</w:t>
      </w:r>
      <w:r w:rsidRPr="00CB7030">
        <w:rPr>
          <w:color w:val="auto"/>
        </w:rPr>
        <w:t xml:space="preserve"> </w:t>
      </w:r>
      <w:r w:rsidRPr="00CB7030">
        <w:rPr>
          <w:rFonts w:cs="Times New Roman"/>
          <w:bCs/>
          <w:iCs/>
          <w:color w:val="auto"/>
        </w:rPr>
        <w:t>pričom l</w:t>
      </w:r>
      <w:r w:rsidRPr="00CB7030">
        <w:rPr>
          <w:color w:val="auto"/>
        </w:rPr>
        <w:t xml:space="preserve">egislatívnym základom uplatňovania jej </w:t>
      </w:r>
      <w:r w:rsidRPr="00CB7030">
        <w:rPr>
          <w:rFonts w:cs="Times New Roman"/>
          <w:bCs/>
          <w:iCs/>
          <w:color w:val="auto"/>
        </w:rPr>
        <w:t>prevenčnej a</w:t>
      </w:r>
      <w:r>
        <w:rPr>
          <w:rFonts w:cs="Times New Roman"/>
          <w:bCs/>
          <w:iCs/>
          <w:color w:val="auto"/>
        </w:rPr>
        <w:t> </w:t>
      </w:r>
      <w:r w:rsidRPr="00CB7030">
        <w:rPr>
          <w:rFonts w:cs="Times New Roman"/>
          <w:bCs/>
          <w:iCs/>
          <w:color w:val="auto"/>
        </w:rPr>
        <w:t xml:space="preserve">nápravnej zložky </w:t>
      </w:r>
      <w:r w:rsidRPr="00CB7030">
        <w:rPr>
          <w:color w:val="auto"/>
        </w:rPr>
        <w:t>v slovenskom právnom poriadku je zákon č. 17/1992 Zb. o životnom prostredí v znení neskorších predpisov. V nadväznosti naň sa obidve z</w:t>
      </w:r>
      <w:r>
        <w:rPr>
          <w:color w:val="auto"/>
        </w:rPr>
        <w:t> </w:t>
      </w:r>
      <w:r w:rsidRPr="00CB7030">
        <w:rPr>
          <w:color w:val="auto"/>
        </w:rPr>
        <w:t xml:space="preserve">uvedených zložiek zásady „znečisťovateľ platí“ následne </w:t>
      </w:r>
      <w:r w:rsidRPr="00CB7030">
        <w:rPr>
          <w:rFonts w:cs="Times New Roman"/>
          <w:bCs/>
          <w:iCs/>
          <w:color w:val="auto"/>
        </w:rPr>
        <w:t>premietajú v</w:t>
      </w:r>
      <w:r>
        <w:rPr>
          <w:rFonts w:cs="Times New Roman"/>
          <w:bCs/>
          <w:iCs/>
          <w:color w:val="auto"/>
        </w:rPr>
        <w:t> </w:t>
      </w:r>
      <w:r w:rsidRPr="00CB7030">
        <w:rPr>
          <w:rFonts w:cs="Times New Roman"/>
          <w:bCs/>
          <w:iCs/>
          <w:color w:val="auto"/>
        </w:rPr>
        <w:t>tzv. zložkových zákonoch chrániacich určitú zložku životného prostredia (zákon č. 364/2004 Z. z. o</w:t>
      </w:r>
      <w:r>
        <w:rPr>
          <w:rFonts w:cs="Times New Roman"/>
          <w:bCs/>
          <w:iCs/>
          <w:color w:val="auto"/>
        </w:rPr>
        <w:t> </w:t>
      </w:r>
      <w:r w:rsidRPr="00CB7030">
        <w:rPr>
          <w:rFonts w:cs="Times New Roman"/>
          <w:bCs/>
          <w:iCs/>
          <w:color w:val="auto"/>
        </w:rPr>
        <w:t>vodách a</w:t>
      </w:r>
      <w:r>
        <w:rPr>
          <w:rFonts w:cs="Times New Roman"/>
          <w:bCs/>
          <w:iCs/>
          <w:color w:val="auto"/>
        </w:rPr>
        <w:t> </w:t>
      </w:r>
      <w:r w:rsidRPr="00CB7030">
        <w:rPr>
          <w:rFonts w:cs="Times New Roman"/>
          <w:bCs/>
          <w:iCs/>
          <w:color w:val="auto"/>
        </w:rPr>
        <w:t>o</w:t>
      </w:r>
      <w:r>
        <w:rPr>
          <w:rFonts w:cs="Times New Roman"/>
          <w:bCs/>
          <w:iCs/>
          <w:color w:val="auto"/>
        </w:rPr>
        <w:t> </w:t>
      </w:r>
      <w:r w:rsidRPr="00CB7030">
        <w:rPr>
          <w:rFonts w:cs="Times New Roman"/>
          <w:bCs/>
          <w:iCs/>
          <w:color w:val="auto"/>
        </w:rPr>
        <w:t>zmene zákona SNR č. 372/1990 Zb. o</w:t>
      </w:r>
      <w:r>
        <w:rPr>
          <w:rFonts w:cs="Times New Roman"/>
          <w:bCs/>
          <w:iCs/>
          <w:color w:val="auto"/>
        </w:rPr>
        <w:t> </w:t>
      </w:r>
      <w:r w:rsidRPr="00CB7030">
        <w:rPr>
          <w:rFonts w:cs="Times New Roman"/>
          <w:bCs/>
          <w:iCs/>
          <w:color w:val="auto"/>
        </w:rPr>
        <w:t>priestupkoch v</w:t>
      </w:r>
      <w:r>
        <w:rPr>
          <w:rFonts w:cs="Times New Roman"/>
          <w:bCs/>
          <w:iCs/>
          <w:color w:val="auto"/>
        </w:rPr>
        <w:t> </w:t>
      </w:r>
      <w:r w:rsidRPr="00CB7030">
        <w:rPr>
          <w:rFonts w:cs="Times New Roman"/>
          <w:bCs/>
          <w:iCs/>
          <w:color w:val="auto"/>
        </w:rPr>
        <w:t>znení neskorších predpisov (vodný zákon), zákon č. 223/2001 Z. z. o</w:t>
      </w:r>
      <w:r>
        <w:rPr>
          <w:rFonts w:cs="Times New Roman"/>
          <w:bCs/>
          <w:iCs/>
          <w:color w:val="auto"/>
        </w:rPr>
        <w:t> </w:t>
      </w:r>
      <w:r w:rsidRPr="00CB7030">
        <w:rPr>
          <w:rFonts w:cs="Times New Roman"/>
          <w:bCs/>
          <w:iCs/>
          <w:color w:val="auto"/>
        </w:rPr>
        <w:t>odpadoch a</w:t>
      </w:r>
      <w:r>
        <w:rPr>
          <w:rFonts w:cs="Times New Roman"/>
          <w:bCs/>
          <w:iCs/>
          <w:color w:val="auto"/>
        </w:rPr>
        <w:t> </w:t>
      </w:r>
      <w:r w:rsidRPr="00CB7030">
        <w:rPr>
          <w:rFonts w:cs="Times New Roman"/>
          <w:bCs/>
          <w:iCs/>
          <w:color w:val="auto"/>
        </w:rPr>
        <w:t>zmene a</w:t>
      </w:r>
      <w:r>
        <w:rPr>
          <w:rFonts w:cs="Times New Roman"/>
          <w:bCs/>
          <w:iCs/>
          <w:color w:val="auto"/>
        </w:rPr>
        <w:t> </w:t>
      </w:r>
      <w:r w:rsidRPr="00CB7030">
        <w:rPr>
          <w:rFonts w:cs="Times New Roman"/>
          <w:bCs/>
          <w:iCs/>
          <w:color w:val="auto"/>
        </w:rPr>
        <w:t>doplnení niektorých zákonov v</w:t>
      </w:r>
      <w:r>
        <w:rPr>
          <w:rFonts w:cs="Times New Roman"/>
          <w:bCs/>
          <w:iCs/>
          <w:color w:val="auto"/>
        </w:rPr>
        <w:t> </w:t>
      </w:r>
      <w:r w:rsidRPr="00CB7030">
        <w:rPr>
          <w:rFonts w:cs="Times New Roman"/>
          <w:bCs/>
          <w:iCs/>
          <w:color w:val="auto"/>
        </w:rPr>
        <w:t>znení neskorších predpisov, zákon č. 401/ 1998 Z. z. o poplatkoch za znečisťovanie ovzdušia v</w:t>
      </w:r>
      <w:r>
        <w:rPr>
          <w:rFonts w:cs="Times New Roman"/>
          <w:bCs/>
          <w:iCs/>
          <w:color w:val="auto"/>
        </w:rPr>
        <w:t> </w:t>
      </w:r>
      <w:r w:rsidRPr="00CB7030">
        <w:rPr>
          <w:rFonts w:cs="Times New Roman"/>
          <w:bCs/>
          <w:iCs/>
          <w:color w:val="auto"/>
        </w:rPr>
        <w:t>znení neskorších prepisov, zákon č. 409/2011 Z. z. o niektorých opatreniach na úseku environmentálnej záťaže a</w:t>
      </w:r>
      <w:r>
        <w:rPr>
          <w:rFonts w:cs="Times New Roman"/>
          <w:bCs/>
          <w:iCs/>
          <w:color w:val="auto"/>
        </w:rPr>
        <w:t> </w:t>
      </w:r>
      <w:r w:rsidRPr="00CB7030">
        <w:rPr>
          <w:rFonts w:cs="Times New Roman"/>
          <w:bCs/>
          <w:iCs/>
          <w:color w:val="auto"/>
        </w:rPr>
        <w:t>o</w:t>
      </w:r>
      <w:r>
        <w:rPr>
          <w:rFonts w:cs="Times New Roman"/>
          <w:bCs/>
          <w:iCs/>
          <w:color w:val="auto"/>
        </w:rPr>
        <w:t> </w:t>
      </w:r>
      <w:r w:rsidRPr="00CB7030">
        <w:rPr>
          <w:rFonts w:cs="Times New Roman"/>
          <w:bCs/>
          <w:iCs/>
          <w:color w:val="auto"/>
        </w:rPr>
        <w:t>zmene a</w:t>
      </w:r>
      <w:r>
        <w:rPr>
          <w:rFonts w:cs="Times New Roman"/>
          <w:bCs/>
          <w:iCs/>
          <w:color w:val="auto"/>
        </w:rPr>
        <w:t> </w:t>
      </w:r>
      <w:r w:rsidRPr="00CB7030">
        <w:rPr>
          <w:rFonts w:cs="Times New Roman"/>
          <w:bCs/>
          <w:iCs/>
          <w:color w:val="auto"/>
        </w:rPr>
        <w:t>doplnení niektorých zákonov a</w:t>
      </w:r>
      <w:r>
        <w:rPr>
          <w:rFonts w:cs="Times New Roman"/>
          <w:bCs/>
          <w:iCs/>
          <w:color w:val="auto"/>
        </w:rPr>
        <w:t> </w:t>
      </w:r>
      <w:r w:rsidRPr="00CB7030">
        <w:rPr>
          <w:rFonts w:cs="Times New Roman"/>
          <w:bCs/>
          <w:iCs/>
          <w:color w:val="auto"/>
        </w:rPr>
        <w:t>pod.) a v tzv. prierezových zákonoch, ktoré zasahujú do viacerých oblastí životného prostredia (zákon č. 359/2007 Z. z. o</w:t>
      </w:r>
      <w:r>
        <w:rPr>
          <w:rFonts w:cs="Times New Roman"/>
          <w:bCs/>
          <w:iCs/>
          <w:color w:val="auto"/>
        </w:rPr>
        <w:t> </w:t>
      </w:r>
      <w:r w:rsidRPr="00CB7030">
        <w:rPr>
          <w:rFonts w:cs="Times New Roman"/>
          <w:bCs/>
          <w:iCs/>
          <w:color w:val="auto"/>
        </w:rPr>
        <w:t>prevencii a</w:t>
      </w:r>
      <w:r>
        <w:rPr>
          <w:rFonts w:cs="Times New Roman"/>
          <w:bCs/>
          <w:iCs/>
          <w:color w:val="auto"/>
        </w:rPr>
        <w:t> </w:t>
      </w:r>
      <w:r w:rsidRPr="00CB7030">
        <w:rPr>
          <w:rFonts w:cs="Times New Roman"/>
          <w:bCs/>
          <w:iCs/>
          <w:color w:val="auto"/>
        </w:rPr>
        <w:t>náprave environmentálnych škôd a</w:t>
      </w:r>
      <w:r>
        <w:rPr>
          <w:rFonts w:cs="Times New Roman"/>
          <w:bCs/>
          <w:iCs/>
          <w:color w:val="auto"/>
        </w:rPr>
        <w:t> </w:t>
      </w:r>
      <w:r w:rsidRPr="00CB7030">
        <w:rPr>
          <w:rFonts w:cs="Times New Roman"/>
          <w:bCs/>
          <w:iCs/>
          <w:color w:val="auto"/>
        </w:rPr>
        <w:t>o</w:t>
      </w:r>
      <w:r>
        <w:rPr>
          <w:rFonts w:cs="Times New Roman"/>
          <w:bCs/>
          <w:iCs/>
          <w:color w:val="auto"/>
        </w:rPr>
        <w:t> </w:t>
      </w:r>
      <w:r w:rsidRPr="00CB7030">
        <w:rPr>
          <w:rFonts w:cs="Times New Roman"/>
          <w:bCs/>
          <w:iCs/>
          <w:color w:val="auto"/>
        </w:rPr>
        <w:t>zmene</w:t>
      </w:r>
      <w:r>
        <w:rPr>
          <w:rFonts w:cs="Times New Roman"/>
          <w:bCs/>
          <w:iCs/>
          <w:color w:val="auto"/>
        </w:rPr>
        <w:t xml:space="preserve"> </w:t>
      </w:r>
      <w:r w:rsidRPr="00CB7030">
        <w:rPr>
          <w:rFonts w:cs="Times New Roman"/>
          <w:bCs/>
          <w:iCs/>
          <w:color w:val="auto"/>
        </w:rPr>
        <w:t>a</w:t>
      </w:r>
      <w:r>
        <w:rPr>
          <w:rFonts w:cs="Times New Roman"/>
          <w:bCs/>
          <w:iCs/>
          <w:color w:val="auto"/>
        </w:rPr>
        <w:t> </w:t>
      </w:r>
      <w:r w:rsidRPr="00CB7030">
        <w:rPr>
          <w:rFonts w:cs="Times New Roman"/>
          <w:bCs/>
          <w:iCs/>
          <w:color w:val="auto"/>
        </w:rPr>
        <w:t>doplnení niektorých zákonov, zákon č. 24/2006 Z. z. o</w:t>
      </w:r>
      <w:r>
        <w:rPr>
          <w:rFonts w:cs="Times New Roman"/>
          <w:bCs/>
          <w:iCs/>
          <w:color w:val="auto"/>
        </w:rPr>
        <w:t> </w:t>
      </w:r>
      <w:r w:rsidRPr="00CB7030">
        <w:rPr>
          <w:rFonts w:cs="Times New Roman"/>
          <w:bCs/>
          <w:iCs/>
          <w:color w:val="auto"/>
        </w:rPr>
        <w:t>posudzovaní vplyvov na životné prostredie a</w:t>
      </w:r>
      <w:r>
        <w:rPr>
          <w:rFonts w:cs="Times New Roman"/>
          <w:bCs/>
          <w:iCs/>
          <w:color w:val="auto"/>
        </w:rPr>
        <w:t> </w:t>
      </w:r>
      <w:r w:rsidRPr="00CB7030">
        <w:rPr>
          <w:rFonts w:cs="Times New Roman"/>
          <w:bCs/>
          <w:iCs/>
          <w:color w:val="auto"/>
        </w:rPr>
        <w:t>o zmene a</w:t>
      </w:r>
      <w:r>
        <w:rPr>
          <w:rFonts w:cs="Times New Roman"/>
          <w:bCs/>
          <w:iCs/>
          <w:color w:val="auto"/>
        </w:rPr>
        <w:t> </w:t>
      </w:r>
      <w:r w:rsidRPr="00CB7030">
        <w:rPr>
          <w:rFonts w:cs="Times New Roman"/>
          <w:bCs/>
          <w:iCs/>
          <w:color w:val="auto"/>
        </w:rPr>
        <w:t>doplnení niektorých zákonov v</w:t>
      </w:r>
      <w:r>
        <w:rPr>
          <w:rFonts w:cs="Times New Roman"/>
          <w:bCs/>
          <w:iCs/>
          <w:color w:val="auto"/>
        </w:rPr>
        <w:t> </w:t>
      </w:r>
      <w:r w:rsidRPr="00CB7030">
        <w:rPr>
          <w:rFonts w:cs="Times New Roman"/>
          <w:bCs/>
          <w:iCs/>
          <w:color w:val="auto"/>
        </w:rPr>
        <w:t>znení neskorších predpisov, zákon č. 39/2013 Z. z. o integrovanej prevencii a</w:t>
      </w:r>
      <w:r>
        <w:rPr>
          <w:rFonts w:cs="Times New Roman"/>
          <w:bCs/>
          <w:iCs/>
          <w:color w:val="auto"/>
        </w:rPr>
        <w:t> </w:t>
      </w:r>
      <w:r w:rsidRPr="00CB7030">
        <w:rPr>
          <w:rFonts w:cs="Times New Roman"/>
          <w:bCs/>
          <w:iCs/>
          <w:color w:val="auto"/>
        </w:rPr>
        <w:t>kontrole znečisťovania životného prostredia a</w:t>
      </w:r>
      <w:r>
        <w:rPr>
          <w:rFonts w:cs="Times New Roman"/>
          <w:bCs/>
          <w:iCs/>
          <w:color w:val="auto"/>
        </w:rPr>
        <w:t> </w:t>
      </w:r>
      <w:r w:rsidRPr="00CB7030">
        <w:rPr>
          <w:rFonts w:cs="Times New Roman"/>
          <w:bCs/>
          <w:iCs/>
          <w:color w:val="auto"/>
        </w:rPr>
        <w:t>o</w:t>
      </w:r>
      <w:r>
        <w:rPr>
          <w:rFonts w:cs="Times New Roman"/>
          <w:bCs/>
          <w:iCs/>
          <w:color w:val="auto"/>
        </w:rPr>
        <w:t> </w:t>
      </w:r>
      <w:r w:rsidRPr="00CB7030">
        <w:rPr>
          <w:rFonts w:cs="Times New Roman"/>
          <w:bCs/>
          <w:iCs/>
          <w:color w:val="auto"/>
        </w:rPr>
        <w:t>zmene a</w:t>
      </w:r>
      <w:r>
        <w:rPr>
          <w:rFonts w:cs="Times New Roman"/>
          <w:bCs/>
          <w:iCs/>
          <w:color w:val="auto"/>
        </w:rPr>
        <w:t> </w:t>
      </w:r>
      <w:r w:rsidRPr="00CB7030">
        <w:rPr>
          <w:rFonts w:cs="Times New Roman"/>
          <w:bCs/>
          <w:iCs/>
          <w:color w:val="auto"/>
        </w:rPr>
        <w:t>doplnení niektorých zákonov a</w:t>
      </w:r>
      <w:r>
        <w:rPr>
          <w:rFonts w:cs="Times New Roman"/>
          <w:bCs/>
          <w:iCs/>
          <w:color w:val="auto"/>
        </w:rPr>
        <w:t> </w:t>
      </w:r>
      <w:r w:rsidRPr="00CB7030">
        <w:rPr>
          <w:rFonts w:cs="Times New Roman"/>
          <w:bCs/>
          <w:iCs/>
          <w:color w:val="auto"/>
        </w:rPr>
        <w:t>pod.).</w:t>
      </w:r>
      <w:r w:rsidRPr="00CB7030">
        <w:rPr>
          <w:rFonts w:cs="Times New Roman"/>
          <w:bCs/>
          <w:iCs/>
          <w:color w:val="auto"/>
          <w:szCs w:val="22"/>
        </w:rPr>
        <w:t xml:space="preserve"> V prostredí SR je zásada „znečisťovateľ platí“ implementovaná prostredníctvom právnych a ekonomických nástrojov tak, aby boli povinné osoby motivované k znižovaniu znečistenia a dotýkala sa všetkých znečisťovateľov. Ekonomické nástroje tvoria dôležitú súčasť environmentálnej politiky SR, pričom k nim patria dane, poplatky, odvody, pokuty a úhrady. </w:t>
      </w:r>
      <w:r w:rsidRPr="00CB7461">
        <w:rPr>
          <w:bCs/>
          <w:iCs/>
          <w:szCs w:val="22"/>
        </w:rPr>
        <w:t>Takto získané finančné prostriedky, spolu s</w:t>
      </w:r>
      <w:r>
        <w:rPr>
          <w:bCs/>
          <w:iCs/>
          <w:szCs w:val="22"/>
        </w:rPr>
        <w:t> </w:t>
      </w:r>
      <w:r w:rsidRPr="00CB7461">
        <w:rPr>
          <w:bCs/>
          <w:iCs/>
          <w:szCs w:val="22"/>
        </w:rPr>
        <w:t>výnosmi z</w:t>
      </w:r>
      <w:r>
        <w:rPr>
          <w:bCs/>
          <w:iCs/>
          <w:szCs w:val="22"/>
        </w:rPr>
        <w:t> </w:t>
      </w:r>
      <w:r w:rsidRPr="00CB7461">
        <w:rPr>
          <w:bCs/>
          <w:iCs/>
          <w:szCs w:val="22"/>
        </w:rPr>
        <w:t>pokút za porušenie povinností vo vzťahu k</w:t>
      </w:r>
      <w:r>
        <w:rPr>
          <w:bCs/>
          <w:iCs/>
          <w:szCs w:val="22"/>
        </w:rPr>
        <w:t> </w:t>
      </w:r>
      <w:r w:rsidRPr="00CB7461">
        <w:rPr>
          <w:bCs/>
          <w:iCs/>
          <w:szCs w:val="22"/>
        </w:rPr>
        <w:t>životnému prostrediu, tvoria príjem Environmentálneho fondu, a</w:t>
      </w:r>
      <w:r>
        <w:rPr>
          <w:bCs/>
          <w:iCs/>
          <w:szCs w:val="22"/>
        </w:rPr>
        <w:t> </w:t>
      </w:r>
      <w:r w:rsidRPr="00CB7461">
        <w:rPr>
          <w:bCs/>
          <w:iCs/>
          <w:szCs w:val="22"/>
        </w:rPr>
        <w:t>tie sa opätovne využívajú na nápravné opatrenia v</w:t>
      </w:r>
      <w:r>
        <w:rPr>
          <w:bCs/>
          <w:iCs/>
          <w:szCs w:val="22"/>
        </w:rPr>
        <w:t> </w:t>
      </w:r>
      <w:r w:rsidRPr="00CB7461">
        <w:rPr>
          <w:bCs/>
          <w:iCs/>
          <w:szCs w:val="22"/>
        </w:rPr>
        <w:t>danom</w:t>
      </w:r>
      <w:r>
        <w:rPr>
          <w:bCs/>
          <w:iCs/>
          <w:szCs w:val="22"/>
        </w:rPr>
        <w:t xml:space="preserve"> </w:t>
      </w:r>
      <w:r w:rsidRPr="00CB7461">
        <w:rPr>
          <w:bCs/>
          <w:iCs/>
          <w:szCs w:val="22"/>
        </w:rPr>
        <w:t>sektore hospodárstva.</w:t>
      </w:r>
    </w:p>
    <w:p w:rsidR="00AD7056" w:rsidRPr="00CB7030" w:rsidRDefault="00AD7056" w:rsidP="00AD7056">
      <w:pPr>
        <w:pStyle w:val="Vchodzie"/>
        <w:spacing w:line="240" w:lineRule="auto"/>
        <w:rPr>
          <w:rFonts w:cs="Times New Roman"/>
          <w:color w:val="auto"/>
          <w:szCs w:val="22"/>
        </w:rPr>
      </w:pPr>
      <w:r w:rsidRPr="00CB7030">
        <w:rPr>
          <w:rFonts w:cs="Times New Roman"/>
          <w:bCs/>
          <w:iCs/>
          <w:color w:val="auto"/>
          <w:szCs w:val="22"/>
        </w:rPr>
        <w:t xml:space="preserve">V rámci uplatňovania zásady „znečisťovateľ platí“ </w:t>
      </w:r>
      <w:r w:rsidRPr="00CB7030">
        <w:rPr>
          <w:rFonts w:cs="Times New Roman"/>
          <w:color w:val="auto"/>
          <w:szCs w:val="22"/>
        </w:rPr>
        <w:t>sa</w:t>
      </w:r>
      <w:r w:rsidRPr="00CB7030">
        <w:rPr>
          <w:rFonts w:cs="Times New Roman"/>
          <w:b/>
          <w:bCs/>
          <w:i/>
          <w:iCs/>
          <w:color w:val="auto"/>
          <w:szCs w:val="22"/>
        </w:rPr>
        <w:t xml:space="preserve"> </w:t>
      </w:r>
      <w:r w:rsidRPr="00CB7030">
        <w:rPr>
          <w:rFonts w:cs="Times New Roman"/>
          <w:bCs/>
          <w:iCs/>
          <w:color w:val="auto"/>
          <w:szCs w:val="22"/>
        </w:rPr>
        <w:t>v SR</w:t>
      </w:r>
      <w:r w:rsidRPr="00CB7030">
        <w:rPr>
          <w:rFonts w:cs="Times New Roman"/>
          <w:color w:val="auto"/>
          <w:szCs w:val="22"/>
        </w:rPr>
        <w:t xml:space="preserve"> využívajú predovšetkým dva horizontálne nástroje – integrovaná prevencia a kontrola znečisťovania (IPKZ) a posudzovanie vplyvov na životné </w:t>
      </w:r>
      <w:r w:rsidRPr="00CB7030">
        <w:rPr>
          <w:rFonts w:cs="Times New Roman"/>
          <w:color w:val="auto"/>
          <w:szCs w:val="22"/>
        </w:rPr>
        <w:lastRenderedPageBreak/>
        <w:t>prostredie (EIA). Uvedené horizontálne nástroje budú uplatňované aj v rámci poskytovania podpory z EŠIF.</w:t>
      </w:r>
    </w:p>
    <w:p w:rsidR="00AD7056" w:rsidRPr="0012795A" w:rsidRDefault="00AD7056" w:rsidP="00AD7056">
      <w:pPr>
        <w:pStyle w:val="Vchodzie"/>
        <w:spacing w:after="0" w:line="240" w:lineRule="auto"/>
        <w:rPr>
          <w:rFonts w:cs="Times New Roman"/>
          <w:color w:val="auto"/>
          <w:szCs w:val="22"/>
        </w:rPr>
      </w:pPr>
    </w:p>
    <w:p w:rsidR="00AD7056" w:rsidRPr="00D578E2" w:rsidRDefault="00AD7056" w:rsidP="00AD7056">
      <w:pPr>
        <w:spacing w:after="200"/>
        <w:rPr>
          <w:rFonts w:ascii="Calibri" w:eastAsia="Calibri" w:hAnsi="Calibri"/>
          <w:b/>
          <w:szCs w:val="22"/>
          <w:lang w:eastAsia="en-US"/>
        </w:rPr>
      </w:pPr>
      <w:r w:rsidRPr="00D578E2">
        <w:rPr>
          <w:rFonts w:ascii="Calibri" w:eastAsia="Calibri" w:hAnsi="Calibri"/>
          <w:b/>
          <w:szCs w:val="22"/>
          <w:lang w:eastAsia="en-US"/>
        </w:rPr>
        <w:t>Environmentálne aspekty TUR:</w:t>
      </w:r>
    </w:p>
    <w:p w:rsidR="00AD7056" w:rsidRPr="00D578E2" w:rsidRDefault="00AD7056" w:rsidP="00AD7056">
      <w:pPr>
        <w:spacing w:after="200"/>
        <w:rPr>
          <w:rFonts w:ascii="Calibri" w:eastAsia="Calibri" w:hAnsi="Calibri"/>
          <w:szCs w:val="22"/>
          <w:lang w:eastAsia="en-US"/>
        </w:rPr>
      </w:pPr>
      <w:r w:rsidRPr="00D578E2">
        <w:rPr>
          <w:rFonts w:ascii="Calibri" w:eastAsia="Calibri" w:hAnsi="Calibri"/>
          <w:szCs w:val="22"/>
          <w:lang w:eastAsia="en-US"/>
        </w:rPr>
        <w:t xml:space="preserve">V súvislosti s </w:t>
      </w:r>
      <w:r w:rsidRPr="00D578E2">
        <w:rPr>
          <w:rFonts w:ascii="Calibri" w:eastAsia="Calibri" w:hAnsi="Calibri"/>
          <w:szCs w:val="22"/>
          <w:u w:val="single"/>
          <w:lang w:eastAsia="en-US"/>
        </w:rPr>
        <w:t>environmentálnym</w:t>
      </w:r>
      <w:r w:rsidRPr="00D578E2">
        <w:rPr>
          <w:rFonts w:ascii="Calibri" w:eastAsia="Calibri" w:hAnsi="Calibri"/>
          <w:szCs w:val="22"/>
          <w:lang w:eastAsia="en-US"/>
        </w:rPr>
        <w:t xml:space="preserve"> aspektom HP TUR budú medzi čiastkové ciele patriť podpora prechodu na </w:t>
      </w:r>
      <w:proofErr w:type="spellStart"/>
      <w:r w:rsidRPr="00D578E2">
        <w:rPr>
          <w:rFonts w:ascii="Calibri" w:eastAsia="Calibri" w:hAnsi="Calibri"/>
          <w:szCs w:val="22"/>
          <w:lang w:eastAsia="en-US"/>
        </w:rPr>
        <w:t>nízkouhlíkové</w:t>
      </w:r>
      <w:proofErr w:type="spellEnd"/>
      <w:r w:rsidRPr="00D578E2">
        <w:rPr>
          <w:rFonts w:ascii="Calibri" w:eastAsia="Calibri" w:hAnsi="Calibri"/>
          <w:szCs w:val="22"/>
          <w:lang w:eastAsia="en-US"/>
        </w:rPr>
        <w:t xml:space="preserve"> hospodárstvo vo všetkých sektoroch, podpora prispôsobovania sa zmenám klímy, predchádzanie a riadenie rizika, ochrana životného prostredia a podpora efektívneho využívania zdrojov,</w:t>
      </w:r>
    </w:p>
    <w:p w:rsidR="00AD7056" w:rsidRPr="00D578E2" w:rsidRDefault="00AD7056" w:rsidP="00AD7056">
      <w:pPr>
        <w:spacing w:after="200"/>
        <w:rPr>
          <w:rFonts w:ascii="Calibri" w:eastAsia="Calibri" w:hAnsi="Calibri"/>
          <w:szCs w:val="22"/>
          <w:lang w:eastAsia="en-US"/>
        </w:rPr>
      </w:pPr>
      <w:r w:rsidRPr="00D578E2">
        <w:rPr>
          <w:rFonts w:ascii="Calibri" w:eastAsia="Calibri" w:hAnsi="Calibri"/>
          <w:szCs w:val="22"/>
          <w:lang w:eastAsia="en-US"/>
        </w:rPr>
        <w:t xml:space="preserve">Environmentálny aspekt HP TUR v rámci opatrenia 1 PRV spočíva v prenose informácii v oblasti biologickej diverzity, negatívnych účinkov hnojív a pesticídov na kvalitu vody, možnostiach využívania obnoviteľných zdrojov energií a odpadov, znižovania emisií skleníkových plynov a získania energie z biomasy, ktorá je produktom podnikov. Prenos znalostí a informačných akcií o tejto problematike tak môže prispieť k obnove a zachovaniu biologickej diverzity. PRV ďalej priamo reaguje na problematiku zmenu klímy </w:t>
      </w:r>
      <w:r w:rsidRPr="00D578E2">
        <w:rPr>
          <w:rFonts w:ascii="Calibri" w:eastAsia="Calibri" w:hAnsi="Calibri" w:cs="Calibri"/>
          <w:bCs/>
          <w:szCs w:val="22"/>
          <w:lang w:eastAsia="en-US"/>
        </w:rPr>
        <w:t>a adaptuje poľnohospodársku výrobu na jej dôsledky</w:t>
      </w:r>
      <w:r w:rsidRPr="00D578E2">
        <w:rPr>
          <w:rFonts w:ascii="Calibri" w:eastAsia="Calibri" w:hAnsi="Calibri"/>
          <w:szCs w:val="22"/>
          <w:lang w:eastAsia="en-US"/>
        </w:rPr>
        <w:t xml:space="preserve"> prostredníctvom opatrenia 5. Podpora investícií do obnoviteľných zdrojov energií je zahrnutá do </w:t>
      </w:r>
      <w:proofErr w:type="spellStart"/>
      <w:r w:rsidRPr="00D578E2">
        <w:rPr>
          <w:rFonts w:ascii="Calibri" w:eastAsia="Calibri" w:hAnsi="Calibri"/>
          <w:szCs w:val="22"/>
          <w:lang w:eastAsia="en-US"/>
        </w:rPr>
        <w:t>podopatrenia</w:t>
      </w:r>
      <w:proofErr w:type="spellEnd"/>
      <w:r w:rsidRPr="00D578E2">
        <w:rPr>
          <w:rFonts w:ascii="Calibri" w:eastAsia="Calibri" w:hAnsi="Calibri"/>
          <w:szCs w:val="22"/>
          <w:lang w:eastAsia="en-US"/>
        </w:rPr>
        <w:t xml:space="preserve">  6.4, čím PRV výrazne podporuje trvalú udržateľnosť činností na vidieku. Uľahčenie dodávok a využitia obnoviteľných zdrojov energie je aj cieľom opatrenia 7. V rámci</w:t>
      </w:r>
      <w:r w:rsidRPr="00D578E2">
        <w:rPr>
          <w:rFonts w:ascii="Calibri" w:eastAsia="Calibri" w:hAnsi="Calibri"/>
          <w:b/>
          <w:szCs w:val="22"/>
          <w:lang w:eastAsia="en-US"/>
        </w:rPr>
        <w:t xml:space="preserve"> </w:t>
      </w:r>
      <w:r w:rsidRPr="00D578E2">
        <w:rPr>
          <w:rFonts w:ascii="Calibri" w:eastAsia="Calibri" w:hAnsi="Calibri"/>
          <w:szCs w:val="22"/>
          <w:lang w:eastAsia="en-US"/>
        </w:rPr>
        <w:t>opatrenia 8 PRV reaguje na problém so zdravotným stavom lesov, pričom lesníctvo je na Slovensku chápané ako jedno z pilierových odvetví rozvoja vidieka. Opatrenie prispieva k obnove, zachovaniu a zvýšeniu biologickej diverzity na územiach sústavy NATURA 2000, v oblastiach s prírodnými alebo inými špecifickými obmedzeniami, v oblastiach s vysokou prírodnou hodnotou a taktiež k obnove, zachovaniu ako i k zlepšeniu stavu krajinných oblastí Európy. Rovnako prispieva i k zlepšeniu vodného hospodárstva, ako prevencia pôdnej erózie, zlepšeniu obhospodarovania pôdy, ako i k zvýšeniu podielu spracovania a využívania OZE (záväzok SR dosiahnuť do roku 2020 14% podiel energie z obnoviteľných zdrojov na hrubej konečnej spotrebe energie). Opatrenie 10 zohráva dôležitú úlohu pri podpore udržateľného rozvoja  vidieckych oblastí najmä v súvislosti s </w:t>
      </w:r>
      <w:proofErr w:type="spellStart"/>
      <w:r w:rsidRPr="00D578E2">
        <w:rPr>
          <w:rFonts w:ascii="Calibri" w:eastAsia="Calibri" w:hAnsi="Calibri"/>
          <w:szCs w:val="22"/>
          <w:lang w:eastAsia="en-US"/>
        </w:rPr>
        <w:t>agroenviro</w:t>
      </w:r>
      <w:r>
        <w:rPr>
          <w:rFonts w:ascii="Calibri" w:eastAsia="Calibri" w:hAnsi="Calibri"/>
          <w:szCs w:val="22"/>
          <w:lang w:eastAsia="en-US"/>
        </w:rPr>
        <w:t>n</w:t>
      </w:r>
      <w:r w:rsidRPr="00D578E2">
        <w:rPr>
          <w:rFonts w:ascii="Calibri" w:eastAsia="Calibri" w:hAnsi="Calibri"/>
          <w:szCs w:val="22"/>
          <w:lang w:eastAsia="en-US"/>
        </w:rPr>
        <w:t>mentálno-klimatickými</w:t>
      </w:r>
      <w:proofErr w:type="spellEnd"/>
      <w:r w:rsidRPr="00D578E2">
        <w:rPr>
          <w:rFonts w:ascii="Calibri" w:eastAsia="Calibri" w:hAnsi="Calibri"/>
          <w:szCs w:val="22"/>
          <w:lang w:eastAsia="en-US"/>
        </w:rPr>
        <w:t xml:space="preserve"> platbami. Ekologické poľnohospodárstvo rozvíja environmentálny aspekt TUR v súvislosti s podporou biodiverzity, zachovávaním prírodného stavu, kvality pôdy i vody, nespôsobujúc/minimalizujúc kontamináciu zložiek životného prostredia. Opatrenia týkajúce sa platieb či už v rámci sústavy NATURA 2000 (opatrenie 12) alebo pre oblasti s prírodnými alebo inými osobitými obmedzeniami (opatrenie 13) rovnako prispievajú k TUR a to obnovou, ochranou a posilňovaním ekosystémov závislých na poľnohospodárstve a lesnom hospodárstve. Opatrenie 14 zas vedie k trvalo udržateľnému zlepšeniu pohody zvierat na Slovensku, a to prostredníctvom zavádzania chovných postupov nad rámec príslušných povinných noriem. Environmentálny aspekt napĺňa aj opatrenie 16, ktoré by malo vďaka inováciám prispieť k obnove a zachovaniu biodiverzity a ekosystémov. </w:t>
      </w:r>
    </w:p>
    <w:p w:rsidR="00AD7056" w:rsidRPr="00D578E2" w:rsidRDefault="00AD7056" w:rsidP="00AD7056">
      <w:pPr>
        <w:spacing w:after="200"/>
        <w:rPr>
          <w:rFonts w:ascii="Calibri" w:eastAsia="Calibri" w:hAnsi="Calibri"/>
          <w:b/>
          <w:szCs w:val="22"/>
          <w:lang w:eastAsia="en-US"/>
        </w:rPr>
      </w:pPr>
      <w:r w:rsidRPr="00D578E2">
        <w:rPr>
          <w:rFonts w:ascii="Calibri" w:eastAsia="Calibri" w:hAnsi="Calibri"/>
          <w:b/>
          <w:szCs w:val="22"/>
          <w:lang w:eastAsia="en-US"/>
        </w:rPr>
        <w:t>Ekonomické aspekty TUR:</w:t>
      </w:r>
    </w:p>
    <w:p w:rsidR="00AD7056" w:rsidRPr="00D578E2" w:rsidRDefault="00AD7056" w:rsidP="00AD7056">
      <w:pPr>
        <w:spacing w:after="200"/>
        <w:rPr>
          <w:rFonts w:ascii="Calibri" w:eastAsia="Calibri" w:hAnsi="Calibri"/>
          <w:szCs w:val="22"/>
          <w:lang w:eastAsia="en-US"/>
        </w:rPr>
      </w:pPr>
      <w:r w:rsidRPr="00D578E2">
        <w:rPr>
          <w:rFonts w:ascii="Calibri" w:eastAsia="Calibri" w:hAnsi="Calibri"/>
          <w:szCs w:val="22"/>
          <w:lang w:eastAsia="en-US"/>
        </w:rPr>
        <w:t xml:space="preserve">Čiastkovými cieľmi </w:t>
      </w:r>
      <w:r w:rsidRPr="00D578E2">
        <w:rPr>
          <w:rFonts w:ascii="Calibri" w:eastAsia="Calibri" w:hAnsi="Calibri"/>
          <w:szCs w:val="22"/>
          <w:u w:val="single"/>
          <w:lang w:eastAsia="en-US"/>
        </w:rPr>
        <w:t>ekonomického</w:t>
      </w:r>
      <w:r w:rsidRPr="00D578E2">
        <w:rPr>
          <w:rFonts w:ascii="Calibri" w:eastAsia="Calibri" w:hAnsi="Calibri"/>
          <w:szCs w:val="22"/>
          <w:lang w:eastAsia="en-US"/>
        </w:rPr>
        <w:t xml:space="preserve"> aspektu HP TUR budú posilnenie výskumu, technologického rozvoja a inovácií s osobitným a mimoriadnym zreteľom na monitorovanie napĺňania Stratégie výskumu a vývoja pre inteligentnú špecializáciu SR na roky 2014 - 2020, zlepšenie prístupu k informáciám a ku komunikačným technológiám a zlepšenie ich využívania a kvality, zvýšenie konkurencieschopnosti malých a stredných podnikov, sektora  poľnohospodárstva (v prípade EPFRV) a sektora rybného hospodárstva a </w:t>
      </w:r>
      <w:proofErr w:type="spellStart"/>
      <w:r w:rsidRPr="00D578E2">
        <w:rPr>
          <w:rFonts w:ascii="Calibri" w:eastAsia="Calibri" w:hAnsi="Calibri"/>
          <w:szCs w:val="22"/>
          <w:lang w:eastAsia="en-US"/>
        </w:rPr>
        <w:t>akvakultúry</w:t>
      </w:r>
      <w:proofErr w:type="spellEnd"/>
      <w:r w:rsidRPr="00D578E2">
        <w:rPr>
          <w:rFonts w:ascii="Calibri" w:eastAsia="Calibri" w:hAnsi="Calibri"/>
          <w:szCs w:val="22"/>
          <w:lang w:eastAsia="en-US"/>
        </w:rPr>
        <w:t xml:space="preserve"> (v prípade EFNRH), investovanie do vzdelávania, zručností a celoživotného vzdelávania a posilnenie inštitucionálnych kapacít a efektivity verejnej správy. </w:t>
      </w:r>
    </w:p>
    <w:p w:rsidR="00AD7056" w:rsidRPr="00D578E2" w:rsidRDefault="00AD7056" w:rsidP="00AD7056">
      <w:pPr>
        <w:spacing w:after="200"/>
        <w:rPr>
          <w:rFonts w:ascii="Calibri" w:eastAsia="Calibri" w:hAnsi="Calibri"/>
          <w:szCs w:val="22"/>
          <w:lang w:eastAsia="en-US"/>
        </w:rPr>
      </w:pPr>
      <w:r w:rsidRPr="00D578E2">
        <w:rPr>
          <w:rFonts w:ascii="Calibri" w:eastAsia="Calibri" w:hAnsi="Calibri"/>
          <w:szCs w:val="22"/>
          <w:lang w:eastAsia="en-US"/>
        </w:rPr>
        <w:t xml:space="preserve">PRV v rámci opatrenia 1 výrazne podporí celoživotné vzdelávanie pracovníkov v poľnohospodárskych podnikoch, ktoré v porovnaní s priemerom EÚ 27 značne zaostáva. Zvyšovanie vzdelanostnej úrovne cieľovej skupiny v rámci tohto opatrenia o nových technológiách, možnostiach reštrukturalizácie </w:t>
      </w:r>
      <w:r w:rsidRPr="00D578E2">
        <w:rPr>
          <w:rFonts w:ascii="Calibri" w:eastAsia="Calibri" w:hAnsi="Calibri"/>
          <w:szCs w:val="22"/>
          <w:lang w:eastAsia="en-US"/>
        </w:rPr>
        <w:lastRenderedPageBreak/>
        <w:t xml:space="preserve">a modernizácie, o súvisiacej legislatíve a transfere </w:t>
      </w:r>
      <w:proofErr w:type="spellStart"/>
      <w:r w:rsidRPr="00D578E2">
        <w:rPr>
          <w:rFonts w:ascii="Calibri" w:eastAsia="Calibri" w:hAnsi="Calibri"/>
          <w:szCs w:val="22"/>
          <w:lang w:eastAsia="en-US"/>
        </w:rPr>
        <w:t>know-how</w:t>
      </w:r>
      <w:proofErr w:type="spellEnd"/>
      <w:r w:rsidRPr="00D578E2">
        <w:rPr>
          <w:rFonts w:ascii="Calibri" w:eastAsia="Calibri" w:hAnsi="Calibri"/>
          <w:szCs w:val="22"/>
          <w:lang w:eastAsia="en-US"/>
        </w:rPr>
        <w:t xml:space="preserve"> bude viesť k zvýšeniu príjmov a konkurencieschopnosti podnikov na jednotnom trhu EÚ a zníži nezamestnanosť, čo korešponduje nielen s ekonomickou, ale aj sociálnou udržateľnosťou rastu. Integrálnu súčasť poskytovania informácií vedúcich k efektívnosti fungovania podnikov predstavujú poradenské služby v rámci opatrenia č. 2, ktoré spoločne prispejú k lepšej ekonomickej výkonnosti. Investície do hmotného majetku v rámci opatrenia  4 zvýšia konkurencieschopnosť poľnohospodárskych podnikov s dôrazom na kritické odvetvia a s ohľadom na udržateľné využívanie zdrojov. Opatrenie 5 posilňuje preventívne opatrenia pred negatívnymi dôsledkami prírodných katastrof a nepriaznivými vplyvmi na poľnohospodársku výrobu, a tým zabraňuje potenciálnej ekonomickej ujme a škodám. Opatrenie  6 prispeje k tvorbe nových pracovných miest, čím zvýši zamestnanosť vo vidieckych oblastiach. Toto opatrenie zároveň napomôže zlepšeniu konkurencieschopnosti mladých a malých farmárov a zvýšeniu poľnohospodárskej diverzifikácie. Podpora ekonomického rozvoja je aj jedným z cieľov opatrenia 7. K tomu prispeje najmä rozšírenie prístupnosti, využívania a kvality informačných a komunikačných technológií (IKT),  ako aj rozvoj a marketing vidieckeho cestovného ruchu. Čo sa týka ekonomického aspektu HP TUR v rámci opatrenia 8 pre rast a udržateľnosť ekonomickej hodnoty lesného hospodárstva a jeho hospodárskeho výkonu sa poukazuje predovšetkým na nevyhnutnosť zvýšenia investícií do tejto oblasti. Zakladanie skupín výrobcov za pomoci opatrenia 9 zlepší  pozíciu poľnohospodárskych podnikov voči veľkým obchodným reťazcom. Opatrenie 16 prispeje k ekonomickému aspektu trvalo udržateľného rozvoja podporou inovácií a vedomostnej základne vo vidieckych oblastiach, čo napomôže aj zvýšeniu poľnohospodárskej produktivity. Opatrenie  17 má združovať poľnohospodárov do vzájomných fondov, prostredníctvom ktorých im bude možné vyplatiť kompenzáciu za hospodárske straty spôsobené rizikovými faktormi. To je v prostredí poľnohospodárstva, najrizikovejšieho výrobného odvetvia, výrazná pomoc pri riešení ekonomických strát cieľovej skupiny opatrenia.</w:t>
      </w:r>
    </w:p>
    <w:p w:rsidR="00AD7056" w:rsidRPr="00D578E2" w:rsidRDefault="00AD7056" w:rsidP="00AD7056">
      <w:pPr>
        <w:spacing w:after="200"/>
        <w:rPr>
          <w:rFonts w:ascii="Calibri" w:eastAsia="Calibri" w:hAnsi="Calibri"/>
          <w:b/>
          <w:szCs w:val="22"/>
          <w:lang w:eastAsia="en-US"/>
        </w:rPr>
      </w:pPr>
      <w:r w:rsidRPr="00D578E2">
        <w:rPr>
          <w:rFonts w:ascii="Calibri" w:eastAsia="Calibri" w:hAnsi="Calibri"/>
          <w:b/>
          <w:szCs w:val="22"/>
          <w:lang w:eastAsia="en-US"/>
        </w:rPr>
        <w:t>Sociálne aspekty TUR:</w:t>
      </w:r>
    </w:p>
    <w:p w:rsidR="00AD7056" w:rsidRPr="00D578E2" w:rsidRDefault="00AD7056" w:rsidP="00AD7056">
      <w:pPr>
        <w:spacing w:after="200"/>
        <w:rPr>
          <w:rFonts w:ascii="Calibri" w:eastAsia="Calibri" w:hAnsi="Calibri"/>
          <w:szCs w:val="22"/>
          <w:lang w:eastAsia="en-US"/>
        </w:rPr>
      </w:pPr>
      <w:r w:rsidRPr="00D578E2">
        <w:rPr>
          <w:rFonts w:ascii="Calibri" w:eastAsia="Calibri" w:hAnsi="Calibri"/>
          <w:szCs w:val="22"/>
          <w:lang w:eastAsia="en-US"/>
        </w:rPr>
        <w:t xml:space="preserve">Čiastkovými cieľmi </w:t>
      </w:r>
      <w:r w:rsidRPr="00D578E2">
        <w:rPr>
          <w:rFonts w:ascii="Calibri" w:eastAsia="Calibri" w:hAnsi="Calibri"/>
          <w:szCs w:val="22"/>
          <w:u w:val="single"/>
          <w:lang w:eastAsia="en-US"/>
        </w:rPr>
        <w:t>sociálneho</w:t>
      </w:r>
      <w:r w:rsidRPr="00D578E2">
        <w:rPr>
          <w:rFonts w:ascii="Calibri" w:eastAsia="Calibri" w:hAnsi="Calibri"/>
          <w:szCs w:val="22"/>
          <w:lang w:eastAsia="en-US"/>
        </w:rPr>
        <w:t xml:space="preserve"> piliera HP TUR budú podpora zamestnanosti a mobility pracovnej sily a podpora sociálneho začlenenia a boj proti chudobe.</w:t>
      </w:r>
    </w:p>
    <w:p w:rsidR="00AD7056" w:rsidRPr="00D578E2" w:rsidRDefault="00AD7056" w:rsidP="00AD7056">
      <w:pPr>
        <w:spacing w:after="200"/>
        <w:rPr>
          <w:rFonts w:ascii="Calibri" w:eastAsia="Calibri" w:hAnsi="Calibri"/>
          <w:szCs w:val="22"/>
          <w:lang w:eastAsia="en-US"/>
        </w:rPr>
      </w:pPr>
      <w:r w:rsidRPr="00D578E2">
        <w:rPr>
          <w:rFonts w:ascii="Calibri" w:eastAsia="Calibri" w:hAnsi="Calibri"/>
          <w:szCs w:val="22"/>
          <w:lang w:eastAsia="en-US"/>
        </w:rPr>
        <w:t xml:space="preserve">Sociálny aspekt TUR je prítomný v rámci opatrenia 1 PRV a jeho význam spočíva najmä v zvyšovaní úrovne vzdelanosti a k približovaniu sa k priemeru EÚ 27. Poradenské služby v rámci opatrenia 2 sprostredkujú informácie aj mladým začínajúcim farmárom, čím napomôžu ku generačnej výmene v sektore poľnohospodárstva. Sociálny aspekt opatrenia č  6 zahŕňa príspevok ku generačnej výmene pracovníkov v poľnohospodárstve a zároveň k zamedzeniu vyľudňovania vidieka. Okrem toho, činnosti spojené s poskytovaním služieb pre deti, seniorov a občanov so zníženou schopnosťou pohybu v rámci </w:t>
      </w:r>
      <w:proofErr w:type="spellStart"/>
      <w:r w:rsidRPr="00D578E2">
        <w:rPr>
          <w:rFonts w:ascii="Calibri" w:eastAsia="Calibri" w:hAnsi="Calibri"/>
          <w:szCs w:val="22"/>
          <w:lang w:eastAsia="en-US"/>
        </w:rPr>
        <w:t>podopatrenia</w:t>
      </w:r>
      <w:proofErr w:type="spellEnd"/>
      <w:r w:rsidRPr="00D578E2">
        <w:rPr>
          <w:rFonts w:ascii="Calibri" w:eastAsia="Calibri" w:hAnsi="Calibri"/>
          <w:szCs w:val="22"/>
          <w:lang w:eastAsia="en-US"/>
        </w:rPr>
        <w:t xml:space="preserve"> 6.4 prispejú k lepšiemu začleneniu týchto skupín obyvateľov do spoločenského života na vidieku. Zlepšenie kvality života na vidieku rozšírením dostupnosti IKT či investovanie do miestnych základných služieb vrátane voľného času a súvisiacej infraštruktúry sú cieľom opatrenia 7. Environmentálne orientované opatrenie 11 vplýva priaznivo i na sociálny aspekt, a to v súvislosti s udržateľnosťou resp. rastom pracovných miest v poľnohospodárstve. Metóda LEADER, implementovaná v rámci opatrenia 19, výrazne prispeje k sociálnemu aspektu trvalo udržateľného rozvoja zapojením miestnych aktérov do rozvoja vidieka pomocou miestnych akčných skupín. Pomocou rozhodovania prístupom zdola nahor bude možné lepšie identifikovať potreby v danom území a docieliť väčšie zapojenie miestnych komunít do spoločenského diania na vidieku.</w:t>
      </w:r>
    </w:p>
    <w:p w:rsidR="00AD7056" w:rsidRDefault="00AD7056" w:rsidP="00AD7056">
      <w:pPr>
        <w:tabs>
          <w:tab w:val="left" w:pos="8640"/>
        </w:tabs>
        <w:rPr>
          <w:rFonts w:ascii="Calibri" w:hAnsi="Calibri"/>
          <w:b/>
          <w:szCs w:val="22"/>
        </w:rPr>
      </w:pPr>
    </w:p>
    <w:p w:rsidR="00AD7056" w:rsidRDefault="00AD7056" w:rsidP="00AD7056">
      <w:pPr>
        <w:rPr>
          <w:rFonts w:ascii="Calibri" w:hAnsi="Calibri"/>
        </w:rPr>
      </w:pPr>
      <w:r w:rsidRPr="00207ECE">
        <w:rPr>
          <w:rFonts w:ascii="Calibri" w:hAnsi="Calibri"/>
        </w:rPr>
        <w:t xml:space="preserve">Pre účinné uplatňovanie horizontálneho princípu </w:t>
      </w:r>
      <w:r>
        <w:rPr>
          <w:rFonts w:ascii="Calibri" w:hAnsi="Calibri"/>
        </w:rPr>
        <w:t xml:space="preserve">trvalo udržateľný rozvoj </w:t>
      </w:r>
      <w:r w:rsidRPr="00207ECE">
        <w:rPr>
          <w:rFonts w:ascii="Calibri" w:hAnsi="Calibri"/>
        </w:rPr>
        <w:t>bude možn</w:t>
      </w:r>
      <w:r>
        <w:rPr>
          <w:rFonts w:ascii="Calibri" w:hAnsi="Calibri"/>
        </w:rPr>
        <w:t>é</w:t>
      </w:r>
      <w:r w:rsidRPr="00207ECE">
        <w:rPr>
          <w:rFonts w:ascii="Calibri" w:hAnsi="Calibri"/>
        </w:rPr>
        <w:t xml:space="preserve"> v hodnotiacom a výberovom procese žiadostí o finančný príspevok stanoviť diskvalifikačné kritérium a to špecifikovaním konkrétnych podmienok pri príprave podporných dokumentov relevantných opatrení PRV. </w:t>
      </w:r>
    </w:p>
    <w:p w:rsidR="00AD7056" w:rsidRDefault="00AD7056" w:rsidP="00AD7056">
      <w:r w:rsidRPr="00207ECE">
        <w:rPr>
          <w:rFonts w:ascii="Calibri" w:hAnsi="Calibri"/>
        </w:rPr>
        <w:t>Riadiaci orgán PRV zabezpečí monitorovanie uplatňovania horizontálnych princípov p</w:t>
      </w:r>
      <w:r>
        <w:t xml:space="preserve">rostredníctvom výročných správ. </w:t>
      </w:r>
      <w:r w:rsidRPr="001676E9">
        <w:t xml:space="preserve">Analytickú, hodnotiacu, strategickú a metodickú činnosť pre uplatňovanie </w:t>
      </w:r>
      <w:r w:rsidRPr="001676E9">
        <w:lastRenderedPageBreak/>
        <w:t xml:space="preserve">horizontálneho princípu </w:t>
      </w:r>
      <w:r>
        <w:t xml:space="preserve">trvalo </w:t>
      </w:r>
      <w:r w:rsidRPr="001676E9">
        <w:t>udržateľný rozvoj bude na národnej úrovni zabezpečovať Úrad vlády SR</w:t>
      </w:r>
      <w:r>
        <w:t>.</w:t>
      </w:r>
    </w:p>
    <w:p w:rsidR="00AD7056" w:rsidRDefault="00AD7056" w:rsidP="00AD7056">
      <w:pPr>
        <w:pStyle w:val="Vchodzie"/>
        <w:spacing w:after="0" w:line="240" w:lineRule="auto"/>
        <w:rPr>
          <w:rFonts w:cs="Times New Roman"/>
          <w:color w:val="auto"/>
          <w:szCs w:val="22"/>
        </w:rPr>
      </w:pPr>
      <w:r w:rsidRPr="0012795A">
        <w:rPr>
          <w:rFonts w:cs="Times New Roman"/>
          <w:color w:val="auto"/>
          <w:szCs w:val="22"/>
        </w:rPr>
        <w:t xml:space="preserve">Pre zabezpečenie monitorovania plnenia princípu </w:t>
      </w:r>
      <w:r>
        <w:rPr>
          <w:rFonts w:cs="Times New Roman"/>
          <w:color w:val="auto"/>
          <w:szCs w:val="22"/>
        </w:rPr>
        <w:t xml:space="preserve">trvalo </w:t>
      </w:r>
      <w:r w:rsidRPr="0012795A">
        <w:rPr>
          <w:rFonts w:cs="Times New Roman"/>
          <w:color w:val="auto"/>
          <w:szCs w:val="22"/>
        </w:rPr>
        <w:t>udržateľn</w:t>
      </w:r>
      <w:r>
        <w:rPr>
          <w:rFonts w:cs="Times New Roman"/>
          <w:color w:val="auto"/>
          <w:szCs w:val="22"/>
        </w:rPr>
        <w:t>ý rozvoj</w:t>
      </w:r>
      <w:r w:rsidRPr="0012795A">
        <w:rPr>
          <w:rFonts w:cs="Times New Roman"/>
          <w:color w:val="auto"/>
          <w:szCs w:val="22"/>
        </w:rPr>
        <w:t xml:space="preserve"> </w:t>
      </w:r>
      <w:r>
        <w:rPr>
          <w:rFonts w:cs="Times New Roman"/>
          <w:color w:val="auto"/>
          <w:szCs w:val="22"/>
        </w:rPr>
        <w:t>bude možné pri relevantných opatreniach PRV sledovať nasledovné ukazovatele</w:t>
      </w:r>
      <w:r w:rsidRPr="0012795A">
        <w:rPr>
          <w:rFonts w:cs="Times New Roman"/>
          <w:color w:val="auto"/>
          <w:szCs w:val="22"/>
        </w:rPr>
        <w:t>:</w:t>
      </w:r>
    </w:p>
    <w:p w:rsidR="00AD7056" w:rsidRDefault="00AD7056" w:rsidP="00AD7056">
      <w:pPr>
        <w:pStyle w:val="Vchodzie"/>
        <w:spacing w:after="0" w:line="240" w:lineRule="auto"/>
        <w:rPr>
          <w:rFonts w:cs="Times New Roman"/>
          <w:color w:val="auto"/>
          <w:szCs w:val="22"/>
        </w:rPr>
      </w:pPr>
      <w:r w:rsidRPr="0012795A">
        <w:rPr>
          <w:rFonts w:cs="Times New Roman"/>
          <w:color w:val="auto"/>
          <w:szCs w:val="22"/>
        </w:rPr>
        <w:t xml:space="preserve">-Dodatočná kapacita pre výrobu obnoviteľnej energie (MW alebo </w:t>
      </w:r>
      <w:proofErr w:type="spellStart"/>
      <w:r w:rsidRPr="0012795A">
        <w:rPr>
          <w:rFonts w:cs="Times New Roman"/>
          <w:color w:val="auto"/>
          <w:szCs w:val="22"/>
        </w:rPr>
        <w:t>kW</w:t>
      </w:r>
      <w:proofErr w:type="spellEnd"/>
      <w:r w:rsidRPr="0012795A">
        <w:rPr>
          <w:rFonts w:cs="Times New Roman"/>
          <w:color w:val="auto"/>
          <w:szCs w:val="22"/>
        </w:rPr>
        <w:t>) - definícia: nárast kapacít pre výrobu energie v zariadeniach, ktoré používajú OZE, vybudovaných /vybavených projektom. Zahŕňa elektrickú a tepelnú energiu.</w:t>
      </w:r>
      <w:r>
        <w:rPr>
          <w:rFonts w:cs="Times New Roman"/>
          <w:color w:val="auto"/>
          <w:szCs w:val="22"/>
        </w:rPr>
        <w:t xml:space="preserve"> </w:t>
      </w:r>
      <w:r w:rsidRPr="0012795A">
        <w:rPr>
          <w:rFonts w:cs="Times New Roman"/>
          <w:color w:val="auto"/>
          <w:szCs w:val="22"/>
        </w:rPr>
        <w:t>Vhodný napr. pre investície výstavba nových, rekonštrukcia, modernizácia a oprava zariadení na využívanie OZE</w:t>
      </w:r>
    </w:p>
    <w:p w:rsidR="00C73E37" w:rsidRDefault="00AD7056" w:rsidP="00AD7056">
      <w:pPr>
        <w:pStyle w:val="Vchodzie"/>
        <w:spacing w:after="0" w:line="240" w:lineRule="auto"/>
      </w:pPr>
      <w:r w:rsidRPr="0012795A">
        <w:rPr>
          <w:rFonts w:cs="Times New Roman"/>
          <w:color w:val="auto"/>
          <w:szCs w:val="22"/>
        </w:rPr>
        <w:t>-Celkové investície do IKT (nákup hardware, software, vrátane pripojenia na internet</w:t>
      </w:r>
      <w:r>
        <w:rPr>
          <w:rFonts w:cs="Times New Roman"/>
          <w:color w:val="auto"/>
          <w:szCs w:val="22"/>
        </w:rPr>
        <w:t>)</w:t>
      </w:r>
      <w:r w:rsidRPr="0012795A">
        <w:rPr>
          <w:rFonts w:cs="Times New Roman"/>
          <w:color w:val="auto"/>
          <w:szCs w:val="22"/>
        </w:rPr>
        <w:t xml:space="preserve"> (€) </w:t>
      </w:r>
      <w:r w:rsidRPr="0012795A">
        <w:rPr>
          <w:rFonts w:cs="Times New Roman"/>
          <w:color w:val="auto"/>
          <w:szCs w:val="22"/>
        </w:rPr>
        <w:br/>
      </w:r>
      <w:bookmarkStart w:id="0" w:name="_GoBack"/>
      <w:bookmarkEnd w:id="0"/>
    </w:p>
    <w:sectPr w:rsidR="00C73E3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11E" w:rsidRDefault="0075711E" w:rsidP="00AD7056">
      <w:r>
        <w:separator/>
      </w:r>
    </w:p>
  </w:endnote>
  <w:endnote w:type="continuationSeparator" w:id="0">
    <w:p w:rsidR="0075711E" w:rsidRDefault="0075711E" w:rsidP="00AD7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LegacySerifItcTOT-BookItal">
    <w:panose1 w:val="00000000000000000000"/>
    <w:charset w:val="EE"/>
    <w:family w:val="roman"/>
    <w:notTrueType/>
    <w:pitch w:val="default"/>
    <w:sig w:usb0="00000005" w:usb1="00000000" w:usb2="00000000" w:usb3="00000000" w:csb0="00000002" w:csb1="00000000"/>
  </w:font>
  <w:font w:name="LegacySerifItcTOT-Book">
    <w:panose1 w:val="00000000000000000000"/>
    <w:charset w:val="EE"/>
    <w:family w:val="roman"/>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056" w:rsidRPr="00060B3A" w:rsidRDefault="00AD7056">
    <w:pPr>
      <w:pStyle w:val="Pta"/>
      <w:jc w:val="right"/>
      <w:rPr>
        <w:rFonts w:ascii="Calibri" w:hAnsi="Calibri"/>
        <w:sz w:val="20"/>
        <w:szCs w:val="20"/>
      </w:rPr>
    </w:pPr>
    <w:r w:rsidRPr="00060B3A">
      <w:rPr>
        <w:rFonts w:ascii="Calibri" w:hAnsi="Calibri"/>
        <w:sz w:val="20"/>
        <w:szCs w:val="20"/>
      </w:rPr>
      <w:fldChar w:fldCharType="begin"/>
    </w:r>
    <w:r w:rsidRPr="00060B3A">
      <w:rPr>
        <w:rFonts w:ascii="Calibri" w:hAnsi="Calibri"/>
        <w:sz w:val="20"/>
        <w:szCs w:val="20"/>
      </w:rPr>
      <w:instrText>PAGE   \* MERGEFORMAT</w:instrText>
    </w:r>
    <w:r w:rsidRPr="00060B3A">
      <w:rPr>
        <w:rFonts w:ascii="Calibri" w:hAnsi="Calibri"/>
        <w:sz w:val="20"/>
        <w:szCs w:val="20"/>
      </w:rPr>
      <w:fldChar w:fldCharType="separate"/>
    </w:r>
    <w:r>
      <w:rPr>
        <w:rFonts w:ascii="Calibri" w:hAnsi="Calibri"/>
        <w:noProof/>
        <w:sz w:val="20"/>
        <w:szCs w:val="20"/>
      </w:rPr>
      <w:t>1</w:t>
    </w:r>
    <w:r w:rsidRPr="00060B3A">
      <w:rPr>
        <w:rFonts w:ascii="Calibri" w:hAnsi="Calibri"/>
        <w:sz w:val="20"/>
        <w:szCs w:val="20"/>
      </w:rPr>
      <w:fldChar w:fldCharType="end"/>
    </w:r>
  </w:p>
  <w:p w:rsidR="00AD7056" w:rsidRPr="00BB2161" w:rsidRDefault="00AD7056" w:rsidP="00F57BCD">
    <w:pPr>
      <w:pBdr>
        <w:top w:val="single" w:sz="4" w:space="1" w:color="auto"/>
      </w:pBdr>
      <w:ind w:right="-567"/>
      <w:jc w:val="center"/>
      <w:rPr>
        <w:rFonts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11E" w:rsidRDefault="0075711E" w:rsidP="00AD7056">
      <w:r>
        <w:separator/>
      </w:r>
    </w:p>
  </w:footnote>
  <w:footnote w:type="continuationSeparator" w:id="0">
    <w:p w:rsidR="0075711E" w:rsidRDefault="0075711E" w:rsidP="00AD7056">
      <w:r>
        <w:continuationSeparator/>
      </w:r>
    </w:p>
  </w:footnote>
  <w:footnote w:id="1">
    <w:p w:rsidR="00AD7056" w:rsidRPr="0075211A" w:rsidRDefault="00AD7056" w:rsidP="00AD7056">
      <w:pPr>
        <w:autoSpaceDE w:val="0"/>
        <w:autoSpaceDN w:val="0"/>
        <w:adjustRightInd w:val="0"/>
        <w:ind w:left="284" w:hanging="284"/>
        <w:rPr>
          <w:sz w:val="18"/>
          <w:szCs w:val="18"/>
        </w:rPr>
      </w:pPr>
      <w:r w:rsidRPr="0075211A">
        <w:rPr>
          <w:rStyle w:val="Odkaznapoznmkupodiarou"/>
          <w:sz w:val="18"/>
          <w:szCs w:val="18"/>
        </w:rPr>
        <w:footnoteRef/>
      </w:r>
      <w:r w:rsidRPr="0075211A">
        <w:rPr>
          <w:sz w:val="18"/>
          <w:szCs w:val="18"/>
        </w:rPr>
        <w:t xml:space="preserve"> </w:t>
      </w:r>
      <w:r w:rsidRPr="0075211A">
        <w:rPr>
          <w:rFonts w:eastAsiaTheme="minorHAnsi" w:cs="LegacySerifItcTOT-BookItal"/>
          <w:i/>
          <w:iCs/>
          <w:sz w:val="18"/>
          <w:szCs w:val="18"/>
          <w:lang w:eastAsia="en-US"/>
        </w:rPr>
        <w:t xml:space="preserve">Systém koordinácie implementácie horizontálnej priority Rovnosť príležitostí pre programové obdobie 2007 – 2013. </w:t>
      </w:r>
      <w:r w:rsidRPr="0075211A">
        <w:rPr>
          <w:rFonts w:eastAsiaTheme="minorHAnsi" w:cs="LegacySerifItcTOT-Book"/>
          <w:sz w:val="18"/>
          <w:szCs w:val="18"/>
          <w:lang w:eastAsia="en-US"/>
        </w:rPr>
        <w:t>Ministerstvo práce, sociálnych vecí a rodiny, 2008.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056" w:rsidRPr="00D42D00" w:rsidRDefault="00AD7056" w:rsidP="00D42D00">
    <w:pPr>
      <w:pStyle w:val="Hlavika"/>
      <w:pBdr>
        <w:bottom w:val="single" w:sz="4" w:space="1" w:color="auto"/>
        <w:between w:val="single" w:sz="4" w:space="1" w:color="4F81BD"/>
      </w:pBdr>
      <w:rPr>
        <w:i/>
        <w:sz w:val="20"/>
        <w:szCs w:val="20"/>
      </w:rPr>
    </w:pPr>
    <w:r w:rsidRPr="00D42D00">
      <w:rPr>
        <w:i/>
        <w:sz w:val="20"/>
        <w:szCs w:val="20"/>
      </w:rPr>
      <w:t xml:space="preserve">Program rozvoja vidieka SR 2014 – 2020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056"/>
    <w:rsid w:val="0075711E"/>
    <w:rsid w:val="00AD7056"/>
    <w:rsid w:val="00C73E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D7056"/>
    <w:pPr>
      <w:spacing w:after="0" w:line="240" w:lineRule="auto"/>
      <w:jc w:val="both"/>
    </w:pPr>
    <w:rPr>
      <w:rFonts w:eastAsia="Times New Roman" w:cs="Times New Roman"/>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AD7056"/>
    <w:pPr>
      <w:tabs>
        <w:tab w:val="center" w:pos="4536"/>
        <w:tab w:val="right" w:pos="9072"/>
      </w:tabs>
    </w:pPr>
  </w:style>
  <w:style w:type="character" w:customStyle="1" w:styleId="HlavikaChar">
    <w:name w:val="Hlavička Char"/>
    <w:basedOn w:val="Predvolenpsmoodseku"/>
    <w:link w:val="Hlavika"/>
    <w:uiPriority w:val="99"/>
    <w:rsid w:val="00AD7056"/>
    <w:rPr>
      <w:rFonts w:eastAsia="Times New Roman" w:cs="Times New Roman"/>
      <w:szCs w:val="24"/>
      <w:lang w:eastAsia="sk-SK"/>
    </w:rPr>
  </w:style>
  <w:style w:type="paragraph" w:styleId="Pta">
    <w:name w:val="footer"/>
    <w:basedOn w:val="Normlny"/>
    <w:link w:val="PtaChar"/>
    <w:uiPriority w:val="99"/>
    <w:rsid w:val="00AD7056"/>
    <w:pPr>
      <w:tabs>
        <w:tab w:val="center" w:pos="4536"/>
        <w:tab w:val="right" w:pos="9072"/>
      </w:tabs>
    </w:pPr>
  </w:style>
  <w:style w:type="character" w:customStyle="1" w:styleId="PtaChar">
    <w:name w:val="Päta Char"/>
    <w:basedOn w:val="Predvolenpsmoodseku"/>
    <w:link w:val="Pta"/>
    <w:uiPriority w:val="99"/>
    <w:rsid w:val="00AD7056"/>
    <w:rPr>
      <w:rFonts w:eastAsia="Times New Roman" w:cs="Times New Roman"/>
      <w:szCs w:val="24"/>
      <w:lang w:eastAsia="sk-SK"/>
    </w:rPr>
  </w:style>
  <w:style w:type="character" w:styleId="Odkaznapoznmkupodiarou">
    <w:name w:val="footnote reference"/>
    <w:aliases w:val="PGI Fußnote Ziffer,Footnote symbol,Footnote reference number,Footnote,Times 10 Point,Exposant 3 Point,Ref,de nota al pie,note TESI,SUPERS,EN Footnote text,EN Footnote Reference,Voetnootverwijzing,Footnote number,fr,o,FR,FR1"/>
    <w:uiPriority w:val="99"/>
    <w:rsid w:val="00AD7056"/>
    <w:rPr>
      <w:vertAlign w:val="superscript"/>
    </w:rPr>
  </w:style>
  <w:style w:type="paragraph" w:customStyle="1" w:styleId="Vchodzie">
    <w:name w:val="Východzie"/>
    <w:rsid w:val="00AD7056"/>
    <w:pPr>
      <w:suppressAutoHyphens/>
      <w:overflowPunct w:val="0"/>
      <w:spacing w:before="120" w:after="120"/>
      <w:jc w:val="both"/>
    </w:pPr>
    <w:rPr>
      <w:rFonts w:ascii="Calibri" w:eastAsiaTheme="minorEastAsia" w:hAnsi="Calibri" w:cs="Mangal"/>
      <w:color w:val="00000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D7056"/>
    <w:pPr>
      <w:spacing w:after="0" w:line="240" w:lineRule="auto"/>
      <w:jc w:val="both"/>
    </w:pPr>
    <w:rPr>
      <w:rFonts w:eastAsia="Times New Roman" w:cs="Times New Roman"/>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AD7056"/>
    <w:pPr>
      <w:tabs>
        <w:tab w:val="center" w:pos="4536"/>
        <w:tab w:val="right" w:pos="9072"/>
      </w:tabs>
    </w:pPr>
  </w:style>
  <w:style w:type="character" w:customStyle="1" w:styleId="HlavikaChar">
    <w:name w:val="Hlavička Char"/>
    <w:basedOn w:val="Predvolenpsmoodseku"/>
    <w:link w:val="Hlavika"/>
    <w:uiPriority w:val="99"/>
    <w:rsid w:val="00AD7056"/>
    <w:rPr>
      <w:rFonts w:eastAsia="Times New Roman" w:cs="Times New Roman"/>
      <w:szCs w:val="24"/>
      <w:lang w:eastAsia="sk-SK"/>
    </w:rPr>
  </w:style>
  <w:style w:type="paragraph" w:styleId="Pta">
    <w:name w:val="footer"/>
    <w:basedOn w:val="Normlny"/>
    <w:link w:val="PtaChar"/>
    <w:uiPriority w:val="99"/>
    <w:rsid w:val="00AD7056"/>
    <w:pPr>
      <w:tabs>
        <w:tab w:val="center" w:pos="4536"/>
        <w:tab w:val="right" w:pos="9072"/>
      </w:tabs>
    </w:pPr>
  </w:style>
  <w:style w:type="character" w:customStyle="1" w:styleId="PtaChar">
    <w:name w:val="Päta Char"/>
    <w:basedOn w:val="Predvolenpsmoodseku"/>
    <w:link w:val="Pta"/>
    <w:uiPriority w:val="99"/>
    <w:rsid w:val="00AD7056"/>
    <w:rPr>
      <w:rFonts w:eastAsia="Times New Roman" w:cs="Times New Roman"/>
      <w:szCs w:val="24"/>
      <w:lang w:eastAsia="sk-SK"/>
    </w:rPr>
  </w:style>
  <w:style w:type="character" w:styleId="Odkaznapoznmkupodiarou">
    <w:name w:val="footnote reference"/>
    <w:aliases w:val="PGI Fußnote Ziffer,Footnote symbol,Footnote reference number,Footnote,Times 10 Point,Exposant 3 Point,Ref,de nota al pie,note TESI,SUPERS,EN Footnote text,EN Footnote Reference,Voetnootverwijzing,Footnote number,fr,o,FR,FR1"/>
    <w:uiPriority w:val="99"/>
    <w:rsid w:val="00AD7056"/>
    <w:rPr>
      <w:vertAlign w:val="superscript"/>
    </w:rPr>
  </w:style>
  <w:style w:type="paragraph" w:customStyle="1" w:styleId="Vchodzie">
    <w:name w:val="Východzie"/>
    <w:rsid w:val="00AD7056"/>
    <w:pPr>
      <w:suppressAutoHyphens/>
      <w:overflowPunct w:val="0"/>
      <w:spacing w:before="120" w:after="120"/>
      <w:jc w:val="both"/>
    </w:pPr>
    <w:rPr>
      <w:rFonts w:ascii="Calibri" w:eastAsiaTheme="minorEastAsia" w:hAnsi="Calibri" w:cs="Mangal"/>
      <w:color w:val="00000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2490</Words>
  <Characters>14195</Characters>
  <Application>Microsoft Office Word</Application>
  <DocSecurity>0</DocSecurity>
  <Lines>118</Lines>
  <Paragraphs>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Krištofíková Jana</dc:creator>
  <cp:lastModifiedBy>Krištofíková Jana</cp:lastModifiedBy>
  <cp:revision>1</cp:revision>
  <dcterms:created xsi:type="dcterms:W3CDTF">2014-05-14T11:50:00Z</dcterms:created>
  <dcterms:modified xsi:type="dcterms:W3CDTF">2014-05-14T11:50:00Z</dcterms:modified>
</cp:coreProperties>
</file>