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90" w:rsidRDefault="00041FEA" w:rsidP="00680AEC">
      <w:pPr>
        <w:jc w:val="both"/>
      </w:pPr>
      <w:r>
        <w:t>05-04-2017</w:t>
      </w:r>
    </w:p>
    <w:p w:rsidR="00041FEA" w:rsidRPr="007660AD" w:rsidRDefault="00041FEA" w:rsidP="00680AEC">
      <w:pPr>
        <w:jc w:val="both"/>
        <w:rPr>
          <w:b/>
        </w:rPr>
      </w:pPr>
      <w:r w:rsidRPr="007660AD">
        <w:rPr>
          <w:b/>
        </w:rPr>
        <w:t xml:space="preserve">Zoznam najčastejších </w:t>
      </w:r>
      <w:r w:rsidR="00D16316">
        <w:rPr>
          <w:b/>
        </w:rPr>
        <w:t>porušení</w:t>
      </w:r>
      <w:r w:rsidR="00BE663C">
        <w:rPr>
          <w:b/>
        </w:rPr>
        <w:t xml:space="preserve"> pravidiel</w:t>
      </w:r>
      <w:r w:rsidRPr="007660AD">
        <w:rPr>
          <w:b/>
        </w:rPr>
        <w:t xml:space="preserve"> verejného obstarávania/obstarávania</w:t>
      </w:r>
      <w:r w:rsidR="00D57D6D">
        <w:rPr>
          <w:b/>
        </w:rPr>
        <w:t xml:space="preserve"> (VO/O)</w:t>
      </w:r>
    </w:p>
    <w:p w:rsidR="007660AD" w:rsidRPr="00C92E65" w:rsidRDefault="007660AD" w:rsidP="00C92E65">
      <w:pPr>
        <w:pStyle w:val="Odsekzoznamu"/>
        <w:numPr>
          <w:ilvl w:val="0"/>
          <w:numId w:val="4"/>
        </w:numPr>
        <w:jc w:val="both"/>
        <w:rPr>
          <w:b/>
          <w:i/>
        </w:rPr>
      </w:pPr>
      <w:r w:rsidRPr="00C92E65">
        <w:rPr>
          <w:b/>
          <w:i/>
        </w:rPr>
        <w:t xml:space="preserve">Zistenia </w:t>
      </w:r>
      <w:r w:rsidR="002F3887" w:rsidRPr="00C92E65">
        <w:rPr>
          <w:b/>
          <w:i/>
        </w:rPr>
        <w:t xml:space="preserve">v postupoch verejného obstarávania </w:t>
      </w:r>
      <w:r w:rsidRPr="00C92E65">
        <w:rPr>
          <w:b/>
          <w:i/>
        </w:rPr>
        <w:t xml:space="preserve">podľa Zákona 25/2006 </w:t>
      </w:r>
      <w:proofErr w:type="spellStart"/>
      <w:r w:rsidRPr="00C92E65">
        <w:rPr>
          <w:b/>
          <w:i/>
        </w:rPr>
        <w:t>Z.z</w:t>
      </w:r>
      <w:proofErr w:type="spellEnd"/>
      <w:r w:rsidRPr="00C92E65">
        <w:rPr>
          <w:b/>
          <w:i/>
        </w:rPr>
        <w:t>. o verejnom obstarávaní</w:t>
      </w:r>
    </w:p>
    <w:p w:rsidR="00041FEA" w:rsidRPr="002F3887" w:rsidRDefault="002F3887" w:rsidP="009D18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2F3887">
        <w:rPr>
          <w:rFonts w:ascii="Calibri" w:eastAsia="Times New Roman" w:hAnsi="Calibri" w:cs="Times New Roman"/>
          <w:lang w:eastAsia="sk-SK"/>
        </w:rPr>
        <w:t xml:space="preserve">stanovenie podmienok nad rámec zákona </w:t>
      </w:r>
      <w:r>
        <w:rPr>
          <w:rFonts w:ascii="Calibri" w:eastAsia="Times New Roman" w:hAnsi="Calibri" w:cs="Times New Roman"/>
          <w:lang w:eastAsia="sk-SK"/>
        </w:rPr>
        <w:t xml:space="preserve">- </w:t>
      </w:r>
      <w:r w:rsidR="00902F16" w:rsidRPr="00902F16">
        <w:rPr>
          <w:rFonts w:ascii="Calibri" w:eastAsia="Times New Roman" w:hAnsi="Calibri" w:cs="Times New Roman"/>
          <w:color w:val="000000"/>
          <w:lang w:eastAsia="sk-SK"/>
        </w:rPr>
        <w:t>v r</w:t>
      </w:r>
      <w:r w:rsidR="00B9287B">
        <w:rPr>
          <w:rFonts w:ascii="Calibri" w:eastAsia="Times New Roman" w:hAnsi="Calibri" w:cs="Times New Roman"/>
          <w:color w:val="000000"/>
          <w:lang w:eastAsia="sk-SK"/>
        </w:rPr>
        <w:t>ámci súťažných podkladov VO bolo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 xml:space="preserve"> pre „F</w:t>
      </w:r>
      <w:r w:rsidR="00902F16" w:rsidRPr="00902F16">
        <w:rPr>
          <w:rFonts w:ascii="Calibri" w:eastAsia="Times New Roman" w:hAnsi="Calibri" w:cs="Times New Roman"/>
          <w:color w:val="000000"/>
          <w:lang w:eastAsia="sk-SK"/>
        </w:rPr>
        <w:t>inančné a ekonomické podmienky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>“</w:t>
      </w:r>
      <w:r w:rsidR="00902F16" w:rsidRPr="00902F16">
        <w:rPr>
          <w:rFonts w:ascii="Calibri" w:eastAsia="Times New Roman" w:hAnsi="Calibri" w:cs="Times New Roman"/>
          <w:color w:val="000000"/>
          <w:lang w:eastAsia="sk-SK"/>
        </w:rPr>
        <w:t xml:space="preserve"> účasti stanovené preukazovanie neprimerane vysokého ročného obratu - diskriminácia uchádzačov </w:t>
      </w:r>
      <w:r w:rsidR="00902F16" w:rsidRPr="002F3887">
        <w:rPr>
          <w:rFonts w:ascii="Calibri" w:eastAsia="Times New Roman" w:hAnsi="Calibri" w:cs="Times New Roman"/>
          <w:lang w:eastAsia="sk-SK"/>
        </w:rPr>
        <w:t>(§27 ods.1 písmeno d) ZVO stanovuje: požiadavka na výšku obratu za obdobie jedného hospodárskeho roku nesmie presiahnuť trojnásobok predpoklad</w:t>
      </w:r>
      <w:r w:rsidR="00680AEC" w:rsidRPr="002F3887">
        <w:rPr>
          <w:rFonts w:ascii="Calibri" w:eastAsia="Times New Roman" w:hAnsi="Calibri" w:cs="Times New Roman"/>
          <w:lang w:eastAsia="sk-SK"/>
        </w:rPr>
        <w:t>a</w:t>
      </w:r>
      <w:r w:rsidR="00902F16" w:rsidRPr="002F3887">
        <w:rPr>
          <w:rFonts w:ascii="Calibri" w:eastAsia="Times New Roman" w:hAnsi="Calibri" w:cs="Times New Roman"/>
          <w:lang w:eastAsia="sk-SK"/>
        </w:rPr>
        <w:t>nej hodnoty zákazky vypočítanej na obdobie 12 mesiacov, ak ide o podlimitnú zákazku</w:t>
      </w:r>
    </w:p>
    <w:p w:rsidR="007E6300" w:rsidRDefault="00680AEC" w:rsidP="007E6300">
      <w:pPr>
        <w:pStyle w:val="Odsekzoznamu"/>
        <w:numPr>
          <w:ilvl w:val="0"/>
          <w:numId w:val="1"/>
        </w:numPr>
        <w:jc w:val="both"/>
      </w:pPr>
      <w:r>
        <w:t xml:space="preserve">predkladanie </w:t>
      </w:r>
      <w:r w:rsidR="00D7714B">
        <w:t>nadhodnotených zákaziek</w:t>
      </w:r>
    </w:p>
    <w:p w:rsidR="007E6300" w:rsidRPr="007E6300" w:rsidRDefault="007E6300" w:rsidP="007E6300">
      <w:pPr>
        <w:pStyle w:val="Odsekzoznamu"/>
        <w:numPr>
          <w:ilvl w:val="0"/>
          <w:numId w:val="1"/>
        </w:numPr>
        <w:jc w:val="both"/>
      </w:pPr>
      <w:r w:rsidRPr="007E6300">
        <w:rPr>
          <w:rFonts w:ascii="Calibri" w:eastAsia="Times New Roman" w:hAnsi="Calibri" w:cs="Times New Roman"/>
          <w:color w:val="000000"/>
          <w:lang w:eastAsia="sk-SK"/>
        </w:rPr>
        <w:t>pri overovaní VO podprahovej zákazky - neoprávnené požadovanie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 xml:space="preserve"> nadhodnotenej</w:t>
      </w:r>
      <w:r w:rsidRPr="007E6300">
        <w:rPr>
          <w:rFonts w:ascii="Calibri" w:eastAsia="Times New Roman" w:hAnsi="Calibri" w:cs="Times New Roman"/>
          <w:color w:val="000000"/>
          <w:lang w:eastAsia="sk-SK"/>
        </w:rPr>
        <w:t xml:space="preserve"> zábezpeky od uchádzačov za účelom zabezpečenia viazanosti ich ponuky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>–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 xml:space="preserve">porušenie §36, ods.1 ZVO, zároveň </w:t>
      </w:r>
      <w:r w:rsidR="00866A62">
        <w:rPr>
          <w:rFonts w:ascii="Calibri" w:eastAsia="Times New Roman" w:hAnsi="Calibri" w:cs="Times New Roman"/>
          <w:color w:val="000000"/>
          <w:lang w:eastAsia="sk-SK"/>
        </w:rPr>
        <w:t>diskriminácia</w:t>
      </w:r>
      <w:r w:rsidR="0073787C">
        <w:rPr>
          <w:rFonts w:ascii="Calibri" w:eastAsia="Times New Roman" w:hAnsi="Calibri" w:cs="Times New Roman"/>
          <w:color w:val="000000"/>
          <w:lang w:eastAsia="sk-SK"/>
        </w:rPr>
        <w:t xml:space="preserve"> potencionálnych uchádzačov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</w:p>
    <w:p w:rsidR="007E6300" w:rsidRPr="007E6300" w:rsidRDefault="007E6300" w:rsidP="007E6300">
      <w:pPr>
        <w:pStyle w:val="Odsekzoznamu"/>
        <w:numPr>
          <w:ilvl w:val="0"/>
          <w:numId w:val="1"/>
        </w:numPr>
        <w:jc w:val="both"/>
      </w:pPr>
      <w:r w:rsidRPr="007E6300">
        <w:rPr>
          <w:rFonts w:ascii="Calibri" w:eastAsia="Times New Roman" w:hAnsi="Calibri" w:cs="Times New Roman"/>
          <w:color w:val="000000"/>
          <w:lang w:eastAsia="sk-SK"/>
        </w:rPr>
        <w:t>nezaslanie výzvy na predkladanie ponúk najmenej trom potencionálnym záujemcom</w:t>
      </w:r>
    </w:p>
    <w:p w:rsidR="004D2D66" w:rsidRPr="002F3887" w:rsidRDefault="006D2CD1" w:rsidP="004D2D66">
      <w:pPr>
        <w:pStyle w:val="Odsekzoznamu"/>
        <w:numPr>
          <w:ilvl w:val="0"/>
          <w:numId w:val="1"/>
        </w:numPr>
        <w:jc w:val="both"/>
      </w:pPr>
      <w:r w:rsidRPr="002F3887">
        <w:rPr>
          <w:rFonts w:ascii="Calibri" w:eastAsia="Times New Roman" w:hAnsi="Calibri" w:cs="Times New Roman"/>
          <w:lang w:eastAsia="sk-SK"/>
        </w:rPr>
        <w:t>stanovenie podmienok</w:t>
      </w:r>
      <w:r w:rsidR="0073787C">
        <w:rPr>
          <w:rFonts w:ascii="Calibri" w:eastAsia="Times New Roman" w:hAnsi="Calibri" w:cs="Times New Roman"/>
          <w:lang w:eastAsia="sk-SK"/>
        </w:rPr>
        <w:t xml:space="preserve"> vo výzve na predkladanie cenových ponúk</w:t>
      </w:r>
      <w:r w:rsidRPr="002F3887">
        <w:rPr>
          <w:rFonts w:ascii="Calibri" w:eastAsia="Times New Roman" w:hAnsi="Calibri" w:cs="Times New Roman"/>
          <w:lang w:eastAsia="sk-SK"/>
        </w:rPr>
        <w:t xml:space="preserve"> nad rámec zákona - </w:t>
      </w:r>
      <w:r w:rsidR="007E6300" w:rsidRPr="002F3887">
        <w:rPr>
          <w:rFonts w:ascii="Calibri" w:eastAsia="Times New Roman" w:hAnsi="Calibri" w:cs="Times New Roman"/>
          <w:lang w:eastAsia="sk-SK"/>
        </w:rPr>
        <w:t xml:space="preserve">v rámci súťažných podkladov VO boli podľa bodu </w:t>
      </w:r>
      <w:r w:rsidR="0073787C">
        <w:rPr>
          <w:rFonts w:ascii="Calibri" w:eastAsia="Times New Roman" w:hAnsi="Calibri" w:cs="Times New Roman"/>
          <w:lang w:eastAsia="sk-SK"/>
        </w:rPr>
        <w:t>„</w:t>
      </w:r>
      <w:r w:rsidR="007E6300" w:rsidRPr="002F3887">
        <w:rPr>
          <w:rFonts w:ascii="Calibri" w:eastAsia="Times New Roman" w:hAnsi="Calibri" w:cs="Times New Roman"/>
          <w:lang w:eastAsia="sk-SK"/>
        </w:rPr>
        <w:t>Technická alebo odborná spôs</w:t>
      </w:r>
      <w:r w:rsidRPr="002F3887">
        <w:rPr>
          <w:rFonts w:ascii="Calibri" w:eastAsia="Times New Roman" w:hAnsi="Calibri" w:cs="Times New Roman"/>
          <w:lang w:eastAsia="sk-SK"/>
        </w:rPr>
        <w:t>obilosť</w:t>
      </w:r>
      <w:r w:rsidR="0073787C">
        <w:rPr>
          <w:rFonts w:ascii="Calibri" w:eastAsia="Times New Roman" w:hAnsi="Calibri" w:cs="Times New Roman"/>
          <w:lang w:eastAsia="sk-SK"/>
        </w:rPr>
        <w:t>“</w:t>
      </w:r>
      <w:r w:rsidRPr="002F3887">
        <w:rPr>
          <w:rFonts w:ascii="Calibri" w:eastAsia="Times New Roman" w:hAnsi="Calibri" w:cs="Times New Roman"/>
          <w:lang w:eastAsia="sk-SK"/>
        </w:rPr>
        <w:t xml:space="preserve"> požadované referencie z</w:t>
      </w:r>
      <w:r w:rsidR="007E6300" w:rsidRPr="002F3887">
        <w:rPr>
          <w:rFonts w:ascii="Calibri" w:eastAsia="Times New Roman" w:hAnsi="Calibri" w:cs="Times New Roman"/>
          <w:lang w:eastAsia="sk-SK"/>
        </w:rPr>
        <w:t xml:space="preserve"> predchádzajúcich 5 rokov, pričom minimálne tri zákazky </w:t>
      </w:r>
      <w:r w:rsidRPr="002F3887">
        <w:rPr>
          <w:rFonts w:ascii="Calibri" w:eastAsia="Times New Roman" w:hAnsi="Calibri" w:cs="Times New Roman"/>
          <w:lang w:eastAsia="sk-SK"/>
        </w:rPr>
        <w:t>ma</w:t>
      </w:r>
      <w:r w:rsidR="007E6300" w:rsidRPr="002F3887">
        <w:rPr>
          <w:rFonts w:ascii="Calibri" w:eastAsia="Times New Roman" w:hAnsi="Calibri" w:cs="Times New Roman"/>
          <w:lang w:eastAsia="sk-SK"/>
        </w:rPr>
        <w:t xml:space="preserve">li byť nad vo výške </w:t>
      </w:r>
      <w:r w:rsidR="002F3887" w:rsidRPr="002F3887">
        <w:rPr>
          <w:rFonts w:ascii="Calibri" w:eastAsia="Times New Roman" w:hAnsi="Calibri" w:cs="Times New Roman"/>
          <w:lang w:eastAsia="sk-SK"/>
        </w:rPr>
        <w:t>predpokladanej zákazky -</w:t>
      </w:r>
      <w:r w:rsidR="007E6300" w:rsidRPr="002F3887">
        <w:rPr>
          <w:rFonts w:ascii="Calibri" w:eastAsia="Times New Roman" w:hAnsi="Calibri" w:cs="Times New Roman"/>
          <w:lang w:eastAsia="sk-SK"/>
        </w:rPr>
        <w:t xml:space="preserve"> diskriminácia potencionálnych uchádzačov</w:t>
      </w:r>
      <w:r w:rsidR="002F3887">
        <w:rPr>
          <w:rFonts w:ascii="Calibri" w:eastAsia="Times New Roman" w:hAnsi="Calibri" w:cs="Times New Roman"/>
          <w:lang w:eastAsia="sk-SK"/>
        </w:rPr>
        <w:t xml:space="preserve"> </w:t>
      </w:r>
    </w:p>
    <w:p w:rsidR="004D2D66" w:rsidRPr="004D2D66" w:rsidRDefault="004D2D66" w:rsidP="004D2D66">
      <w:pPr>
        <w:pStyle w:val="Odsekzoznamu"/>
        <w:numPr>
          <w:ilvl w:val="0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nadhodnotené ceny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položiek </w:t>
      </w:r>
      <w:r w:rsidRPr="004D2D66">
        <w:rPr>
          <w:rFonts w:ascii="Calibri" w:eastAsia="Times New Roman" w:hAnsi="Calibri" w:cs="Times New Roman"/>
          <w:color w:val="000000"/>
          <w:lang w:eastAsia="sk-SK"/>
        </w:rPr>
        <w:t>a nesprávny postup VO - nesúlad nákladových položiek medzi projektovou dokumentáciou a výkazom množstiev v priebehu verejného obstarávania a neprimerane vyššie ceny tovarov a služieb voči trhovým cenám</w:t>
      </w:r>
    </w:p>
    <w:p w:rsidR="009D186F" w:rsidRPr="009D186F" w:rsidRDefault="004D2D66" w:rsidP="009D186F">
      <w:pPr>
        <w:pStyle w:val="Odsekzoznamu"/>
        <w:numPr>
          <w:ilvl w:val="0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>nekompletná dok</w:t>
      </w:r>
      <w:r w:rsidR="009D186F">
        <w:rPr>
          <w:rFonts w:ascii="Calibri" w:eastAsia="Times New Roman" w:hAnsi="Calibri" w:cs="Times New Roman"/>
          <w:color w:val="000000"/>
          <w:lang w:eastAsia="sk-SK"/>
        </w:rPr>
        <w:t>umentácia VO - chýbajúce doklad</w:t>
      </w: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y: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doklad o zaslaní výzvy na predkladanie ponúk,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>identifikácia záujemcov, ktorí podali žiadosť o zaslanie súťažných podkladov,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identifikácia uchádzačov, ktorí požiadali o vysvetlenie súťažných podkladov a kedy, komu bola zaslaná odpoveď,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identifikácia uchádzačov, ktorým bolo zaslané oznámenie o otváraní obálok časti "Kritériá",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doklad o tom, kedy boli VO zaslané jednotlivé ponuky,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doklad o zaslaní zápisnice z otvárania časti ponúk "Kritériá", </w:t>
      </w:r>
    </w:p>
    <w:p w:rsidR="009D186F" w:rsidRP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doklad o zaslaní oznámenia o vylúčení s odôvodnením, </w:t>
      </w:r>
    </w:p>
    <w:p w:rsidR="009D186F" w:rsidRDefault="004D2D66" w:rsidP="009D186F">
      <w:pPr>
        <w:pStyle w:val="Odsekzoznamu"/>
        <w:numPr>
          <w:ilvl w:val="1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>doklad o zaslaní oznámenia o výsledku vyhodnotenia ponúk</w:t>
      </w:r>
      <w:r w:rsidR="009D186F">
        <w:rPr>
          <w:rFonts w:ascii="Calibri" w:eastAsia="Times New Roman" w:hAnsi="Calibri" w:cs="Times New Roman"/>
          <w:color w:val="000000"/>
          <w:lang w:eastAsia="sk-SK"/>
        </w:rPr>
        <w:t>,</w:t>
      </w:r>
      <w:r w:rsidR="009D186F">
        <w:t xml:space="preserve"> </w:t>
      </w:r>
    </w:p>
    <w:p w:rsidR="009D186F" w:rsidRDefault="009D186F" w:rsidP="009D186F">
      <w:pPr>
        <w:pStyle w:val="Odsekzoznamu"/>
        <w:numPr>
          <w:ilvl w:val="1"/>
          <w:numId w:val="1"/>
        </w:numPr>
        <w:jc w:val="both"/>
      </w:pPr>
      <w:r>
        <w:t>doklad oprávňujúci dodávať tovar, poskytovať služby v zmysle predmetu obstarávania,</w:t>
      </w:r>
    </w:p>
    <w:p w:rsidR="000C16F0" w:rsidRPr="000C16F0" w:rsidRDefault="009D186F" w:rsidP="009D186F">
      <w:pPr>
        <w:pStyle w:val="Odsekzoznamu"/>
        <w:numPr>
          <w:ilvl w:val="1"/>
          <w:numId w:val="1"/>
        </w:numPr>
        <w:jc w:val="both"/>
      </w:pPr>
      <w:r>
        <w:t>vyjadrenia bánk,</w:t>
      </w:r>
      <w:r w:rsidR="006D2CD1">
        <w:t xml:space="preserve"> zdravotných poisťovní v zmysle §26, ods. 1c) ZVO</w:t>
      </w:r>
    </w:p>
    <w:p w:rsidR="000C16F0" w:rsidRPr="002F3887" w:rsidRDefault="000C16F0" w:rsidP="000C16F0">
      <w:pPr>
        <w:pStyle w:val="Odsekzoznamu"/>
        <w:numPr>
          <w:ilvl w:val="0"/>
          <w:numId w:val="1"/>
        </w:numPr>
        <w:jc w:val="both"/>
      </w:pPr>
      <w:r w:rsidRPr="000C16F0">
        <w:rPr>
          <w:rFonts w:ascii="Calibri" w:eastAsia="Times New Roman" w:hAnsi="Calibri" w:cs="Times New Roman"/>
          <w:color w:val="000000"/>
          <w:lang w:eastAsia="sk-SK"/>
        </w:rPr>
        <w:t>výber uchádzača na základe preferencií a dobrých skúseností, čo je nesplnenie po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dmienky najnižšej ceny a ekonomicky </w:t>
      </w:r>
      <w:r w:rsidRPr="000C16F0">
        <w:rPr>
          <w:rFonts w:ascii="Calibri" w:eastAsia="Times New Roman" w:hAnsi="Calibri" w:cs="Times New Roman"/>
          <w:color w:val="000000"/>
          <w:lang w:eastAsia="sk-SK"/>
        </w:rPr>
        <w:t xml:space="preserve">najvýhodnejšej </w:t>
      </w:r>
      <w:r w:rsidR="00C92E65">
        <w:rPr>
          <w:rFonts w:ascii="Calibri" w:eastAsia="Times New Roman" w:hAnsi="Calibri" w:cs="Times New Roman"/>
          <w:color w:val="000000"/>
          <w:lang w:eastAsia="sk-SK"/>
        </w:rPr>
        <w:t>cenovej ponuky</w:t>
      </w:r>
      <w:r w:rsidRPr="000C16F0">
        <w:rPr>
          <w:rFonts w:ascii="Calibri" w:eastAsia="Times New Roman" w:hAnsi="Calibri" w:cs="Times New Roman"/>
          <w:color w:val="000000"/>
          <w:lang w:eastAsia="sk-SK"/>
        </w:rPr>
        <w:t xml:space="preserve"> - </w:t>
      </w:r>
      <w:r w:rsidRPr="002F3887">
        <w:rPr>
          <w:rFonts w:ascii="Calibri" w:eastAsia="Times New Roman" w:hAnsi="Calibri" w:cs="Times New Roman"/>
          <w:lang w:eastAsia="sk-SK"/>
        </w:rPr>
        <w:t>porušenie §31, ods.1. písm.</w:t>
      </w:r>
      <w:r w:rsidR="0073787C">
        <w:rPr>
          <w:rFonts w:ascii="Calibri" w:eastAsia="Times New Roman" w:hAnsi="Calibri" w:cs="Times New Roman"/>
          <w:lang w:eastAsia="sk-SK"/>
        </w:rPr>
        <w:t xml:space="preserve"> </w:t>
      </w:r>
      <w:r w:rsidRPr="002F3887">
        <w:rPr>
          <w:rFonts w:ascii="Calibri" w:eastAsia="Times New Roman" w:hAnsi="Calibri" w:cs="Times New Roman"/>
          <w:lang w:eastAsia="sk-SK"/>
        </w:rPr>
        <w:t>j - nehospodárne, neefektívne a neúčinné vynakladanie verejných prostriedkov</w:t>
      </w:r>
    </w:p>
    <w:p w:rsidR="00456333" w:rsidRDefault="000C16F0" w:rsidP="00456333">
      <w:pPr>
        <w:pStyle w:val="Odsekzoznamu"/>
        <w:numPr>
          <w:ilvl w:val="0"/>
          <w:numId w:val="1"/>
        </w:numPr>
        <w:jc w:val="both"/>
      </w:pPr>
      <w:r>
        <w:t xml:space="preserve">obstarávateľ požadoval od uchádzačov doklady nad rámec dokumentácie, ktorá </w:t>
      </w:r>
      <w:r w:rsidR="0073787C">
        <w:t>ne</w:t>
      </w:r>
      <w:r>
        <w:t>bola vymedzená vo výzve na predkladanie cenových ponúk</w:t>
      </w:r>
    </w:p>
    <w:p w:rsidR="001B5C96" w:rsidRPr="001B5C96" w:rsidRDefault="00456333" w:rsidP="001B5C96">
      <w:pPr>
        <w:pStyle w:val="Odsekzoznamu"/>
        <w:numPr>
          <w:ilvl w:val="0"/>
          <w:numId w:val="1"/>
        </w:numPr>
        <w:jc w:val="both"/>
      </w:pPr>
      <w:r w:rsidRPr="00456333">
        <w:rPr>
          <w:rFonts w:ascii="Calibri" w:eastAsia="Times New Roman" w:hAnsi="Calibri" w:cs="Times New Roman"/>
          <w:color w:val="000000"/>
          <w:lang w:eastAsia="sk-SK"/>
        </w:rPr>
        <w:t>verejný obstarávateľ (ktorý má povinnosť zaslať Výzvu na predkladanie ponúk po jej zverejnení minimálne trom potencionálnym záujemcom) nezaslal výzvu na predkladanie ponúk po jej zvere</w:t>
      </w:r>
      <w:r>
        <w:rPr>
          <w:rFonts w:ascii="Calibri" w:eastAsia="Times New Roman" w:hAnsi="Calibri" w:cs="Times New Roman"/>
          <w:color w:val="000000"/>
          <w:lang w:eastAsia="sk-SK"/>
        </w:rPr>
        <w:t>j</w:t>
      </w:r>
      <w:r w:rsidRPr="00456333">
        <w:rPr>
          <w:rFonts w:ascii="Calibri" w:eastAsia="Times New Roman" w:hAnsi="Calibri" w:cs="Times New Roman"/>
          <w:color w:val="000000"/>
          <w:lang w:eastAsia="sk-SK"/>
        </w:rPr>
        <w:t>není žiadnemu potencionálnemu záujemcovi alebo iba dvom potencionálnym uchádzačom - porušenie §99 ods. 5 zákona 25/200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6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Z.z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. o verejnom obstarávaní</w:t>
      </w:r>
    </w:p>
    <w:p w:rsidR="001323A8" w:rsidRPr="001323A8" w:rsidRDefault="001B5C96" w:rsidP="001323A8">
      <w:pPr>
        <w:pStyle w:val="Odsekzoznamu"/>
        <w:numPr>
          <w:ilvl w:val="0"/>
          <w:numId w:val="1"/>
        </w:numPr>
        <w:jc w:val="both"/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obstarávateľ/žiadateľ </w:t>
      </w:r>
      <w:r w:rsidRPr="001B5C96">
        <w:rPr>
          <w:rFonts w:ascii="Calibri" w:eastAsia="Times New Roman" w:hAnsi="Calibri" w:cs="Times New Roman"/>
          <w:color w:val="000000"/>
          <w:lang w:eastAsia="sk-SK"/>
        </w:rPr>
        <w:t xml:space="preserve">vyhodnotil ponuku potencionálneho uchádzača ako víťaznú napriek tomu, že v čase podania cenovej ponuky uchádzač nepredložil platný doklad, ktorým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by </w:t>
      </w:r>
      <w:r w:rsidRPr="001B5C96">
        <w:rPr>
          <w:rFonts w:ascii="Calibri" w:eastAsia="Times New Roman" w:hAnsi="Calibri" w:cs="Times New Roman"/>
          <w:color w:val="000000"/>
          <w:lang w:eastAsia="sk-SK"/>
        </w:rPr>
        <w:t>preukázal vykonávanie predmetnej činnosti</w:t>
      </w:r>
    </w:p>
    <w:p w:rsidR="000C16F0" w:rsidRPr="00C92E65" w:rsidRDefault="001323A8" w:rsidP="00C92E6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7C6989">
        <w:rPr>
          <w:rFonts w:ascii="Calibri" w:eastAsia="Times New Roman" w:hAnsi="Calibri" w:cs="Times New Roman"/>
          <w:iCs/>
          <w:color w:val="000000"/>
          <w:lang w:eastAsia="sk-SK"/>
        </w:rPr>
        <w:lastRenderedPageBreak/>
        <w:t>identifikácia podpisu neoprávnenou osobou - jednotlivé verzie Zmluvy o dielo a jej dodatky neboli podpísané jednou osobou, prípadne oprávnenou osobou podpisovať príslušné dokumenty</w:t>
      </w:r>
    </w:p>
    <w:p w:rsidR="00C92E65" w:rsidRPr="00C92E65" w:rsidRDefault="00C92E65" w:rsidP="00C92E65">
      <w:pPr>
        <w:pStyle w:val="Odsekzoznamu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:rsidR="007660AD" w:rsidRPr="00C92E65" w:rsidRDefault="007660AD" w:rsidP="00C92E65">
      <w:pPr>
        <w:pStyle w:val="Odsekzoznamu"/>
        <w:numPr>
          <w:ilvl w:val="0"/>
          <w:numId w:val="4"/>
        </w:numPr>
        <w:jc w:val="both"/>
        <w:rPr>
          <w:b/>
          <w:i/>
        </w:rPr>
      </w:pPr>
      <w:bookmarkStart w:id="0" w:name="_GoBack"/>
      <w:bookmarkEnd w:id="0"/>
      <w:r w:rsidRPr="00C92E65">
        <w:rPr>
          <w:b/>
          <w:i/>
        </w:rPr>
        <w:t xml:space="preserve">Zistenia </w:t>
      </w:r>
      <w:r w:rsidR="002F3887" w:rsidRPr="00C92E65">
        <w:rPr>
          <w:b/>
          <w:i/>
        </w:rPr>
        <w:t xml:space="preserve">v postupoch obstarávania </w:t>
      </w:r>
      <w:r w:rsidRPr="00C92E65">
        <w:rPr>
          <w:b/>
          <w:i/>
        </w:rPr>
        <w:t>podľa Usmernenia PPA č. 7/2016 k obstarávaniu tovarov, stavebných prác a služieb financovaných z PRV SR 2014-2020</w:t>
      </w:r>
    </w:p>
    <w:p w:rsidR="007660AD" w:rsidRDefault="007660AD" w:rsidP="007660AD">
      <w:pPr>
        <w:pStyle w:val="Odsekzoznamu"/>
        <w:numPr>
          <w:ilvl w:val="0"/>
          <w:numId w:val="1"/>
        </w:numPr>
        <w:jc w:val="both"/>
      </w:pPr>
      <w:r>
        <w:t>predkladanie nekompletnej dokumentácie k </w:t>
      </w:r>
      <w:r w:rsidR="00B9287B">
        <w:t>obstarávaniu</w:t>
      </w:r>
      <w:r>
        <w:t xml:space="preserve"> 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>zápisnice z vyhodnocovania cenových ponúk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 xml:space="preserve">čestné vyhlásenia ku konfliktu záujmov štatutára a členov komisie, 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>čestné vyhlásenie, že dodávateľ nie je konkurze alebo v likvidácii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>doklad oprávňujúci dodávať tovar, poskytovať služby v zmysle predmetu obstarávania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 xml:space="preserve">referencie minimálne od dvoch užívateľov stavieb, </w:t>
      </w:r>
    </w:p>
    <w:p w:rsidR="007660AD" w:rsidRDefault="007660AD" w:rsidP="007660AD">
      <w:pPr>
        <w:pStyle w:val="Odsekzoznamu"/>
        <w:numPr>
          <w:ilvl w:val="1"/>
          <w:numId w:val="1"/>
        </w:numPr>
        <w:jc w:val="both"/>
      </w:pPr>
      <w:r>
        <w:t xml:space="preserve">doklady preukazujúce prevzatie výzvy na predkladanie cenový ponúk, </w:t>
      </w:r>
    </w:p>
    <w:p w:rsidR="007660AD" w:rsidRDefault="007660AD" w:rsidP="007660AD">
      <w:pPr>
        <w:pStyle w:val="Odsekzoznamu"/>
        <w:numPr>
          <w:ilvl w:val="0"/>
          <w:numId w:val="3"/>
        </w:numPr>
        <w:jc w:val="both"/>
      </w:pPr>
      <w:r>
        <w:t>predkladanie dokumentácie s chybami</w:t>
      </w:r>
    </w:p>
    <w:p w:rsidR="007660AD" w:rsidRDefault="007660AD" w:rsidP="007660AD">
      <w:pPr>
        <w:pStyle w:val="Odsekzoznamu"/>
        <w:numPr>
          <w:ilvl w:val="1"/>
          <w:numId w:val="3"/>
        </w:numPr>
        <w:jc w:val="both"/>
      </w:pPr>
      <w:r>
        <w:t xml:space="preserve"> doklady bez podpisov oprávnených osôb a pečiatky </w:t>
      </w:r>
    </w:p>
    <w:p w:rsidR="007660AD" w:rsidRDefault="007660AD" w:rsidP="007660AD">
      <w:pPr>
        <w:pStyle w:val="Odsekzoznamu"/>
        <w:numPr>
          <w:ilvl w:val="1"/>
          <w:numId w:val="3"/>
        </w:numPr>
        <w:jc w:val="both"/>
      </w:pPr>
      <w:r>
        <w:t xml:space="preserve"> chýbajúce dátumy prevzatia výzvy, predkladania ponúk </w:t>
      </w:r>
    </w:p>
    <w:p w:rsidR="009D186F" w:rsidRPr="004D2D66" w:rsidRDefault="009D186F" w:rsidP="009D186F">
      <w:pPr>
        <w:pStyle w:val="Odsekzoznamu"/>
        <w:numPr>
          <w:ilvl w:val="0"/>
          <w:numId w:val="1"/>
        </w:numPr>
        <w:jc w:val="both"/>
      </w:pPr>
      <w:r w:rsidRPr="004D2D66">
        <w:rPr>
          <w:rFonts w:ascii="Calibri" w:eastAsia="Times New Roman" w:hAnsi="Calibri" w:cs="Times New Roman"/>
          <w:color w:val="000000"/>
          <w:lang w:eastAsia="sk-SK"/>
        </w:rPr>
        <w:t xml:space="preserve">nadhodnotené ceny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položiek - </w:t>
      </w:r>
      <w:r w:rsidRPr="004D2D66">
        <w:rPr>
          <w:rFonts w:ascii="Calibri" w:eastAsia="Times New Roman" w:hAnsi="Calibri" w:cs="Times New Roman"/>
          <w:color w:val="000000"/>
          <w:lang w:eastAsia="sk-SK"/>
        </w:rPr>
        <w:t>neprimerane vyššie ceny tovarov a služieb voči trhovým cenám</w:t>
      </w:r>
    </w:p>
    <w:p w:rsidR="009D186F" w:rsidRDefault="009D186F" w:rsidP="006D2CD1">
      <w:pPr>
        <w:ind w:left="360"/>
        <w:jc w:val="both"/>
      </w:pPr>
    </w:p>
    <w:p w:rsidR="009D186F" w:rsidRDefault="009D186F" w:rsidP="009D186F">
      <w:pPr>
        <w:pStyle w:val="Odsekzoznamu"/>
        <w:ind w:left="1440"/>
        <w:jc w:val="both"/>
      </w:pPr>
    </w:p>
    <w:sectPr w:rsidR="009D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2F9"/>
    <w:multiLevelType w:val="hybridMultilevel"/>
    <w:tmpl w:val="EBACDBBC"/>
    <w:lvl w:ilvl="0" w:tplc="68C23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40780"/>
    <w:multiLevelType w:val="hybridMultilevel"/>
    <w:tmpl w:val="F1D4DC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91D0A"/>
    <w:multiLevelType w:val="hybridMultilevel"/>
    <w:tmpl w:val="0D0ABB92"/>
    <w:lvl w:ilvl="0" w:tplc="AFB4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BAB"/>
    <w:multiLevelType w:val="hybridMultilevel"/>
    <w:tmpl w:val="3DD48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0"/>
    <w:rsid w:val="00041FEA"/>
    <w:rsid w:val="000C16F0"/>
    <w:rsid w:val="001323A8"/>
    <w:rsid w:val="001B5C96"/>
    <w:rsid w:val="002F3887"/>
    <w:rsid w:val="00456333"/>
    <w:rsid w:val="004D2D66"/>
    <w:rsid w:val="00664FBA"/>
    <w:rsid w:val="00680AEC"/>
    <w:rsid w:val="006932D3"/>
    <w:rsid w:val="006D2CD1"/>
    <w:rsid w:val="0073787C"/>
    <w:rsid w:val="007660AD"/>
    <w:rsid w:val="007C6989"/>
    <w:rsid w:val="007E6300"/>
    <w:rsid w:val="00866A62"/>
    <w:rsid w:val="00902F16"/>
    <w:rsid w:val="009D186F"/>
    <w:rsid w:val="00AF0205"/>
    <w:rsid w:val="00B24B74"/>
    <w:rsid w:val="00B9287B"/>
    <w:rsid w:val="00BE663C"/>
    <w:rsid w:val="00C92E65"/>
    <w:rsid w:val="00CE2000"/>
    <w:rsid w:val="00D16316"/>
    <w:rsid w:val="00D57D6D"/>
    <w:rsid w:val="00D7714B"/>
    <w:rsid w:val="00E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4607-8E86-43AA-B4FA-A8289AB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Valovičová Miroslava</dc:creator>
  <cp:keywords/>
  <dc:description/>
  <cp:lastModifiedBy>Valovičová Miroslava</cp:lastModifiedBy>
  <cp:revision>14</cp:revision>
  <dcterms:created xsi:type="dcterms:W3CDTF">2017-04-05T06:32:00Z</dcterms:created>
  <dcterms:modified xsi:type="dcterms:W3CDTF">2017-04-07T11:47:00Z</dcterms:modified>
</cp:coreProperties>
</file>