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37A90D08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C564E4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5348C647" w14:textId="77777777" w:rsidR="00BF03BD" w:rsidRDefault="00BF03B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9EB7F44" w14:textId="77777777" w:rsidR="00BF03BD" w:rsidRDefault="00BF03B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A7E15A4" w14:textId="77777777" w:rsidR="00BF03BD" w:rsidRPr="008149B5" w:rsidRDefault="00BF03B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211086C" w14:textId="77777777" w:rsidR="00BF03BD" w:rsidRDefault="00BF03B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27CFAE4" w14:textId="77777777" w:rsidR="00BF03BD" w:rsidRPr="008149B5" w:rsidRDefault="00BF03B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BF03BD">
            <w:pPr>
              <w:spacing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BF03BD">
      <w:pPr>
        <w:spacing w:after="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2695492A" w:rsidR="008149B5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r w:rsidR="00DE06F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DE06F5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A91EC0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1FFA51A5" w:rsidR="00242C47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DE06F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DE06F5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informácie o účtovných závierkach“ v ITMS2014+)</w:t>
            </w:r>
          </w:p>
          <w:p w14:paraId="7A820F58" w14:textId="77777777" w:rsidR="007C0CD7" w:rsidRPr="00A91EC0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A91EC0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A91EC0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 w:rsidRPr="00A91EC0"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DB2757" w:rsidRPr="00A91EC0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DB2757" w:rsidRPr="00A91EC0">
              <w:rPr>
                <w:rFonts w:asciiTheme="minorHAnsi" w:hAnsiTheme="minorHAnsi" w:cs="Arial"/>
                <w:sz w:val="19"/>
                <w:szCs w:val="19"/>
              </w:rPr>
              <w:t xml:space="preserve">štatutárny orgán žiadateľa záväzne vyhlási, že sa naň nevzťahuje § 22 zákona č. 431/2002 Z. z. o účtovníctve v znení neskorších </w:t>
            </w:r>
            <w:r w:rsidR="00DB2757" w:rsidRPr="00A91EC0">
              <w:rPr>
                <w:rFonts w:asciiTheme="minorHAnsi" w:hAnsiTheme="minorHAnsi" w:cs="Arial"/>
                <w:sz w:val="19"/>
                <w:szCs w:val="19"/>
              </w:rPr>
              <w:lastRenderedPageBreak/>
              <w:t>predpisov</w:t>
            </w:r>
            <w:r w:rsidR="00DB2757" w:rsidRPr="00A91EC0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09876820" w14:textId="59B2EBFF" w:rsidR="00DE06F5" w:rsidRPr="00DE06F5" w:rsidRDefault="00DE06F5" w:rsidP="00DE06F5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daniach) </w:t>
            </w:r>
          </w:p>
          <w:p w14:paraId="27B18778" w14:textId="67D28895" w:rsidR="004F4BCC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A91EC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DE06F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DE06F5" w:rsidRPr="00B35F08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="00DE06F5" w:rsidRPr="00B35F08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4F7397D6" w:rsidR="00675897" w:rsidRPr="00A91EC0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1B6932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3C4895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C4895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69E0F8B7" w:rsidR="003C4895" w:rsidRPr="00BF03BD" w:rsidRDefault="00DE06F5" w:rsidP="00BF03B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779A36C8" w14:textId="45B934C1" w:rsidR="00DE06F5" w:rsidRPr="00DE06F5" w:rsidRDefault="00DE06F5" w:rsidP="00DE06F5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poistného na zdravotnom poistení) </w:t>
            </w:r>
          </w:p>
          <w:p w14:paraId="6458EAFA" w14:textId="5B425979" w:rsidR="004F4BCC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A91EC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DE06F5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DE06F5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A91EC0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32D22524" w14:textId="67E2C140" w:rsidR="00DE06F5" w:rsidRPr="00DE06F5" w:rsidRDefault="00DE06F5" w:rsidP="00DE06F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sociálnom poistení) </w:t>
            </w:r>
          </w:p>
          <w:p w14:paraId="738A9593" w14:textId="74C22B9E" w:rsidR="005E230F" w:rsidRPr="00A91EC0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Potvrdenie Sociálnej poisťovne </w:t>
            </w:r>
            <w:r w:rsidRPr="00A91EC0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nie staršie ako 3 mesiace ku dňu predloženia ŽoNFP</w:t>
            </w:r>
            <w:r w:rsidR="00DE06F5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 xml:space="preserve"> </w:t>
            </w:r>
            <w:r w:rsidR="00DE06F5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A91EC0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0139CAF6" w:rsidR="004F4BCC" w:rsidRPr="001331D7" w:rsidRDefault="00D72E93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D72E93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 konkurze alebo v reštrukturalizácií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14:paraId="7BC84DF4" w14:textId="77777777" w:rsidR="00DE06F5" w:rsidRPr="00B35F08" w:rsidRDefault="00DE06F5" w:rsidP="00DE06F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619B7194" w:rsidR="004F4BCC" w:rsidRPr="00BF03BD" w:rsidRDefault="00DE06F5" w:rsidP="00BF03B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A91EC0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DB2757" w:rsidRPr="00A91EC0">
              <w:rPr>
                <w:rFonts w:ascii="Calibri" w:hAnsi="Calibri"/>
                <w:sz w:val="22"/>
              </w:rPr>
              <w:t xml:space="preserve"> </w:t>
            </w:r>
            <w:r w:rsidR="00DB2757" w:rsidRPr="00A91EC0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A91EC0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A91EC0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A91EC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688D15A" w:rsidR="00242C47" w:rsidRPr="00A91EC0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1331D7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28161361" w14:textId="4B64CD1A" w:rsidR="008149B5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A91EC0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DB2757" w:rsidRPr="00A91EC0">
              <w:rPr>
                <w:rFonts w:ascii="Calibri" w:hAnsi="Calibr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A91EC0">
              <w:rPr>
                <w:rFonts w:ascii="Calibri" w:hAnsi="Calibr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  <w:p w14:paraId="5C946B68" w14:textId="49D40DF6" w:rsidR="00D679A2" w:rsidRPr="00A91EC0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hAnsi="Calibri"/>
                <w:bCs/>
                <w:iCs/>
                <w:sz w:val="19"/>
                <w:szCs w:val="19"/>
              </w:rPr>
              <w:t xml:space="preserve">formulár ŽoNFP (tabuľka č. 15 - Čestné vyhlásenie žiadateľa; štatutárny orgán </w:t>
            </w:r>
            <w:r w:rsidRPr="00A91EC0">
              <w:rPr>
                <w:rFonts w:ascii="Calibri" w:hAnsi="Calibri"/>
                <w:bCs/>
                <w:iCs/>
                <w:sz w:val="19"/>
                <w:szCs w:val="19"/>
              </w:rPr>
              <w:lastRenderedPageBreak/>
              <w:t>žiadateľa záväzne vyhlási, že nedošlo k zahladeniu trestného činu uvedeného v §§284, 285, 298 až 310, alebo trestného činu uvedeného v §§20, 21 a 337 v súvislosti s trestným činom uvedeným v §§284, 285, 298 až 310 Trestného zákona)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204DF774" w:rsidR="008149B5" w:rsidRPr="00A91EC0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</w:t>
            </w:r>
            <w:r w:rsidR="00DE06F5">
              <w:rPr>
                <w:rFonts w:ascii="Calibri" w:eastAsia="Times New Roman" w:hAnsi="Calibri" w:cs="Times New Roman"/>
                <w:sz w:val="19"/>
                <w:szCs w:val="19"/>
              </w:rPr>
              <w:t xml:space="preserve">rý predchádza dňu podania ŽoNFP </w:t>
            </w:r>
            <w:r w:rsidR="00DE06F5" w:rsidRPr="00B35F08">
              <w:rPr>
                <w:rFonts w:ascii="Calibri" w:hAnsi="Calibri"/>
                <w:i/>
                <w:sz w:val="19"/>
                <w:szCs w:val="19"/>
              </w:rPr>
              <w:t xml:space="preserve">(možnosť využitia </w:t>
            </w:r>
            <w:r w:rsidR="00DE06F5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integračnej akcie „</w:t>
            </w:r>
            <w:r w:rsidR="00DE06F5" w:rsidRPr="00B35F08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Získanie informácie o účtovných závierkach</w:t>
            </w:r>
            <w:r w:rsidR="00DE06F5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“ v ITMS2014+).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1331D7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A91EC0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A91EC0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C74B6A" w:rsidRPr="001B6932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DB2757" w:rsidRDefault="00DB2757" w:rsidP="001331D7">
            <w:pPr>
              <w:rPr>
                <w:rFonts w:ascii="Calibri" w:hAnsi="Calibri"/>
                <w:sz w:val="19"/>
                <w:szCs w:val="19"/>
              </w:rPr>
            </w:pPr>
            <w:r w:rsidRPr="00E727CD">
              <w:rPr>
                <w:rFonts w:ascii="Calibri" w:hAnsi="Calibr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A91EC0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A91EC0">
              <w:rPr>
                <w:rFonts w:ascii="Calibri" w:eastAsia="Times New Roman" w:hAnsi="Calibri" w:cs="Times New Roman"/>
                <w:sz w:val="19"/>
                <w:szCs w:val="19"/>
              </w:rPr>
              <w:t>Výpis z registra trestov právnickej osoby nie starší ako 3 mesiace ku dňu predloženia ŽoNFP</w:t>
            </w:r>
          </w:p>
          <w:p w14:paraId="4848983C" w14:textId="491A0930" w:rsidR="00C74B6A" w:rsidRPr="00A91EC0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A91EC0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1B6932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7E4717" w:rsidRDefault="007E4717" w:rsidP="001331D7">
            <w:pPr>
              <w:rPr>
                <w:rFonts w:ascii="Calibri" w:hAnsi="Calibri"/>
                <w:sz w:val="19"/>
                <w:szCs w:val="19"/>
              </w:rPr>
            </w:pPr>
            <w:r w:rsidRPr="007E4717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A91EC0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A91EC0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1331D7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A91EC0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A91EC0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A91EC0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A91EC0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965065" w:rsidRPr="001B6932" w14:paraId="5F72623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0A7A154" w14:textId="5CCAFCB8" w:rsidR="00965065" w:rsidRPr="00965065" w:rsidRDefault="00965065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965065">
              <w:rPr>
                <w:rFonts w:ascii="Calibri" w:hAnsi="Calibri"/>
                <w:bCs/>
                <w:sz w:val="19"/>
                <w:szCs w:val="19"/>
              </w:rPr>
              <w:t>Podmienka, že operácie sa musia týkať chovu rýb, ikier, násad, plôdikov uvedených v prílohe 1 Zmluvy o fungovaní EÚ.</w:t>
            </w:r>
          </w:p>
        </w:tc>
        <w:tc>
          <w:tcPr>
            <w:tcW w:w="7229" w:type="dxa"/>
            <w:vAlign w:val="center"/>
          </w:tcPr>
          <w:p w14:paraId="50C5219E" w14:textId="77777777" w:rsidR="00965065" w:rsidRPr="00A91EC0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 xml:space="preserve">formulár ŽoNFP (tabuľka č. 7 – Popis projektu)  </w:t>
            </w:r>
          </w:p>
          <w:p w14:paraId="79E4F405" w14:textId="35A77B3F" w:rsidR="00965065" w:rsidRPr="00A91EC0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A91EC0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A91EC0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11 - Rozpočet projektu</w:t>
            </w:r>
            <w:r w:rsidR="001E15B4"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A91EC0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A91EC0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Tabuľková časť projektu – Oprávnené výdavky projektu</w:t>
            </w:r>
          </w:p>
          <w:p w14:paraId="3A98E614" w14:textId="77777777" w:rsidR="0006736F" w:rsidRPr="00A91EC0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A91EC0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Arial"/>
                <w:sz w:val="19"/>
                <w:szCs w:val="19"/>
              </w:rPr>
              <w:lastRenderedPageBreak/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Potvrdenie, že žiadateľ nie je platcom DPH nie staršie ako 3 mesiace ku dňu predloženia ŽoNFP</w:t>
            </w:r>
            <w:r w:rsidR="00B2405F"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6 - Miesto realizácie projektu)</w:t>
            </w:r>
          </w:p>
        </w:tc>
      </w:tr>
      <w:tr w:rsidR="00AE4BE4" w:rsidRPr="001B6932" w14:paraId="1A9D7A3F" w14:textId="77777777" w:rsidTr="00AE4BE4">
        <w:trPr>
          <w:trHeight w:val="330"/>
        </w:trPr>
        <w:tc>
          <w:tcPr>
            <w:tcW w:w="7054" w:type="dxa"/>
            <w:vAlign w:val="center"/>
          </w:tcPr>
          <w:p w14:paraId="0F2F644F" w14:textId="750F6EA2" w:rsidR="00AE4BE4" w:rsidRPr="00AE4BE4" w:rsidRDefault="00AE4BE4" w:rsidP="00AE4BE4">
            <w:pPr>
              <w:spacing w:line="288" w:lineRule="auto"/>
              <w:jc w:val="left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AE4BE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0CFCAE73" w14:textId="77777777" w:rsidR="00A75C3E" w:rsidRPr="00A91EC0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54BD3044" w14:textId="77777777" w:rsidR="00A75C3E" w:rsidRPr="00A91EC0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Dokumenty preukazujúce oprávnenosť z hľadiska plnenia požiadaviek v oblasti posudzovania vplyvov na ŽP</w:t>
            </w:r>
          </w:p>
          <w:p w14:paraId="2827D184" w14:textId="78F18D45" w:rsidR="00AE4BE4" w:rsidRPr="00A91EC0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Odborné stanovisko okresného úradu v sídle kraja vydané podľa § 28 zákona o ochrane prírody a krajiny k možnosti významného vplyvu projektu alebo plánu na územie sústavy chránených území (ak relevantné)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A91EC0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A91EC0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A91EC0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A91EC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A91EC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A91EC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A91EC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Pr="00A91EC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t>Súlad projektu s cieľmi HP RMŽ a ND</w:t>
            </w:r>
          </w:p>
          <w:p w14:paraId="3E9F5D6A" w14:textId="124A7146" w:rsidR="00AF6370" w:rsidRPr="00A91EC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DE06F5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10B328C1" w14:textId="02B769F3" w:rsidR="00DE06F5" w:rsidRPr="00DE06F5" w:rsidRDefault="00DE06F5" w:rsidP="00DE06F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Povolenie na realizáciu stavby vrátane projektovej dokumentácie (ak relevantné) </w:t>
            </w:r>
          </w:p>
          <w:p w14:paraId="446D27E0" w14:textId="146B8485" w:rsidR="00AF6370" w:rsidRPr="00A91EC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A91EC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A91EC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Hospodárnosť výdavkov projektu</w:t>
            </w:r>
          </w:p>
          <w:p w14:paraId="4F4BA27F" w14:textId="23A5B89B" w:rsidR="00AF6370" w:rsidRPr="00A91EC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A91EC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A91EC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A91EC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A91EC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A91EC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91EC0"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099E223D" w:rsidR="009A2675" w:rsidRPr="00BF03BD" w:rsidRDefault="00E439EB" w:rsidP="00BF03B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A91EC0">
              <w:rPr>
                <w:rFonts w:asciiTheme="minorHAnsi" w:hAnsiTheme="minorHAnsi"/>
                <w:sz w:val="19"/>
                <w:szCs w:val="19"/>
              </w:rPr>
              <w:t>ý</w:t>
            </w:r>
            <w:r w:rsidRPr="00A91EC0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3A31D3" w:rsidRPr="001B6932" w14:paraId="068C9027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79803" w14:textId="0D1FAFE2" w:rsidR="003A31D3" w:rsidRPr="003A31D3" w:rsidRDefault="003A31D3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3A31D3">
              <w:rPr>
                <w:rFonts w:ascii="Calibri" w:hAnsi="Calibri"/>
                <w:bCs/>
                <w:sz w:val="19"/>
                <w:szCs w:val="19"/>
              </w:rPr>
              <w:t>Podmienka oprávnenosti žiadateľa na vykonávanie hospodárskeho chovu rýb</w:t>
            </w:r>
          </w:p>
        </w:tc>
        <w:tc>
          <w:tcPr>
            <w:tcW w:w="7229" w:type="dxa"/>
            <w:vAlign w:val="center"/>
          </w:tcPr>
          <w:p w14:paraId="597F5FD7" w14:textId="6E5C4AE4" w:rsidR="003A31D3" w:rsidRPr="00A91EC0" w:rsidRDefault="003A31D3" w:rsidP="00812727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Osvedčenie na chov rýb vzťahujúce sa k prevádzke, na ktorej sa realizuje projekt.</w:t>
            </w:r>
            <w:r w:rsidR="00620337"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1331D7" w:rsidRDefault="00872252" w:rsidP="001331D7">
            <w:pPr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289C0EDE" w14:textId="5B31BE6B" w:rsidR="00DE06F5" w:rsidRPr="00DE06F5" w:rsidRDefault="00DE06F5" w:rsidP="00DE06F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7A208B94" w:rsidR="00872252" w:rsidRPr="00A91EC0" w:rsidRDefault="00872252" w:rsidP="00DE06F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hAnsiTheme="minorHAnsi" w:cs="Times New Roman"/>
                <w:sz w:val="19"/>
                <w:szCs w:val="19"/>
              </w:rPr>
              <w:t xml:space="preserve">Potvrdenie krajského inšpektorátu práce </w:t>
            </w:r>
            <w:r w:rsidRPr="00A91EC0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nie staršie ako 3 mesiace ku dňu predloženia ŽoNFP</w:t>
            </w:r>
            <w:r w:rsidR="00DE06F5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 xml:space="preserve"> </w:t>
            </w:r>
            <w:r w:rsidR="00DE06F5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(možnosť využitia integračnej akcie</w:t>
            </w:r>
            <w:r w:rsidR="00DE06F5" w:rsidRPr="00B35F08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="00DE06F5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Podmienka dodržiavania princípu zákazu konfliktu záujmov v súlade so zákonom o </w:t>
            </w: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A91EC0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hAnsiTheme="minorHAnsi"/>
                <w:sz w:val="19"/>
                <w:szCs w:val="19"/>
              </w:rPr>
              <w:lastRenderedPageBreak/>
              <w:t>formulár ŽoNFP (tabuľka č. 15 - Čestné vyhlásenie</w:t>
            </w:r>
            <w:r w:rsidRPr="00A91EC0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A91EC0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</w:t>
            </w:r>
            <w:r w:rsidRPr="00A91EC0">
              <w:rPr>
                <w:rFonts w:asciiTheme="minorHAnsi" w:hAnsiTheme="minorHAnsi"/>
                <w:sz w:val="19"/>
                <w:szCs w:val="19"/>
              </w:rPr>
              <w:lastRenderedPageBreak/>
              <w:t>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5181D83F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A91EC0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0CF40CFB" w14:textId="77777777" w:rsidR="0012143F" w:rsidRPr="00A91EC0" w:rsidRDefault="0012143F" w:rsidP="0012143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eastAsia="Calibri" w:hAnsiTheme="minorHAnsi"/>
                <w:sz w:val="19"/>
                <w:szCs w:val="19"/>
              </w:rPr>
            </w:pPr>
            <w:r w:rsidRPr="00A91EC0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 žiadateľa; štatutárny orgán žiadateľa, záväzne vyhlási, že súhlasí s overením plnenia spravodajských povinností zo strany poskytovateľa)</w:t>
            </w:r>
          </w:p>
          <w:p w14:paraId="64E0BBEA" w14:textId="3E25D78A" w:rsidR="00872252" w:rsidRPr="00A91EC0" w:rsidRDefault="0012143F" w:rsidP="0012143F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eastAsia="Calibri" w:hAnsiTheme="minorHAnsi"/>
                <w:sz w:val="19"/>
                <w:szCs w:val="19"/>
              </w:rPr>
              <w:t>Súhrnné čestné vyhlásenie žiadateľa; štatutárny orgán žiadateľa, záväzne vyhlási, že si plní spravodajské povinnosti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1331D7" w:rsidRDefault="004B1D1F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A91EC0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 w:rsidRPr="00A91EC0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A91EC0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  <w:p w14:paraId="5E1750DB" w14:textId="50B7601D" w:rsidR="00872252" w:rsidRPr="00A91EC0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91EC0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A91EC0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Pr="00A91EC0">
              <w:rPr>
                <w:rFonts w:asciiTheme="minorHAnsi" w:eastAsia="Arial Unicode MS" w:hAnsiTheme="minorHAnsi"/>
                <w:sz w:val="19"/>
                <w:szCs w:val="19"/>
              </w:rPr>
              <w:t xml:space="preserve">čestné </w:t>
            </w:r>
            <w:r w:rsidR="00872252" w:rsidRPr="00A91EC0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3E64B1" w:rsidRPr="00A91EC0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A91EC0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0A2EB9" w:rsidRPr="00A91EC0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2E6C99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2E6C99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146499B6" w:rsidR="004B75FE" w:rsidRPr="002E6C99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2E6C99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3E64B1" w:rsidRPr="002E6C99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 w:rsidRPr="002E6C99"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3E64B1" w:rsidRPr="002E6C99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3E64B1" w:rsidRPr="002E6C99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4" w:history="1">
              <w:r w:rsidR="003E64B1" w:rsidRPr="002E6C99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2E6C99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3E64B1" w:rsidRPr="002E6C99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5" w:history="1">
              <w:r w:rsidR="003E64B1" w:rsidRPr="002E6C99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2E6C99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0A2EB9" w:rsidRPr="002E6C99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1526C4" w:rsidRPr="001B6932" w14:paraId="3F52B36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470AFD" w14:textId="66770582" w:rsidR="001526C4" w:rsidRPr="001526C4" w:rsidRDefault="001526C4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526C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 požiadavkami v oblasti dopadu plánov a projektov na územia sústavy NATURA 2000</w:t>
            </w:r>
          </w:p>
        </w:tc>
        <w:tc>
          <w:tcPr>
            <w:tcW w:w="7229" w:type="dxa"/>
            <w:vAlign w:val="center"/>
          </w:tcPr>
          <w:p w14:paraId="597D848B" w14:textId="56CBCAAB" w:rsidR="001526C4" w:rsidRPr="002E6C99" w:rsidRDefault="001526C4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2E6C99">
              <w:rPr>
                <w:rFonts w:asciiTheme="minorHAnsi" w:eastAsia="Arial Unicode MS" w:hAnsiTheme="minorHAnsi"/>
                <w:sz w:val="19"/>
                <w:szCs w:val="19"/>
              </w:rPr>
              <w:t>Odborné stanovisko okresného úradu v sídle kraja vydané podľa § 28 zákona zákon č. 543/2002 Z. z. o ochrane prírody a krajiny v znení neskorších predpisov k možnosti významného vplyvu projektu alebo plánu na územie sústavy chránených území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2E6C99" w:rsidRDefault="00F97F3D" w:rsidP="002E6C99">
            <w:pPr>
              <w:spacing w:before="60" w:after="60"/>
              <w:rPr>
                <w:rFonts w:eastAsia="Arial Unicode MS"/>
              </w:rPr>
            </w:pPr>
            <w:r w:rsidRPr="002E6C99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2E6C99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2E6C99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2E6C99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2E6C99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3E64B1" w:rsidRPr="002E6C99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2E6C99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2E6C99" w:rsidRDefault="00F97F3D" w:rsidP="002E6C99">
            <w:pPr>
              <w:spacing w:before="60" w:after="60"/>
              <w:ind w:left="34"/>
            </w:pPr>
            <w:r w:rsidRPr="002E6C99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2E6C99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2E6C99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2E6C99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2E6C99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3E64B1" w:rsidRPr="002E6C99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2E6C99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2E6C99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2E6C99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2E6C99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2E6C99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2E6C99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2E6C99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2E6C99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2E6C99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278CFCED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19A5D4D" w:rsidR="00B13E70" w:rsidRPr="00B13E70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FD75E0A" w14:textId="08EC5E2F" w:rsidR="00B13E70" w:rsidRPr="001331D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74588FE2" w14:textId="32DC2E6B" w:rsidR="00B523E2" w:rsidRPr="001331D7" w:rsidRDefault="00B523E2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nedošlo k zahladeniu odsúdenia za trestné činy </w:t>
            </w:r>
            <w:r w:rsidR="001B01C0" w:rsidRPr="00C532A4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podľa </w:t>
            </w:r>
            <w:r w:rsidR="00C532A4" w:rsidRPr="00161EE1">
              <w:rPr>
                <w:rFonts w:asciiTheme="minorHAnsi" w:hAnsiTheme="minorHAnsi" w:cs="Arial"/>
                <w:color w:val="000000"/>
                <w:sz w:val="19"/>
                <w:szCs w:val="19"/>
              </w:rPr>
              <w:t>uvedeného v §§284, 285, 298 až 310, alebo trestného činu uvedeného v §§20, 21 a 337 v súvislosti s trestným činom uvedeným v §§284, 285, 298 až 310 Trestného zákona)</w:t>
            </w:r>
          </w:p>
          <w:p w14:paraId="5EDC1E63" w14:textId="30F65CD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c) pri zadávaní podmienok verejného obstarávania nebudú podmienky definované tak, aby mohlo dôjsť k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4839C3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4839C3"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>v</w:t>
            </w:r>
            <w:r w:rsidR="001B01C0"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oči sa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285FE0B4" w14:textId="77777777" w:rsidR="00DE06F5" w:rsidRPr="00B35F08" w:rsidRDefault="00DE06F5" w:rsidP="00DE06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013C2599" w14:textId="77777777" w:rsidR="00DE06F5" w:rsidRPr="00B35F08" w:rsidRDefault="00DE06F5" w:rsidP="00DE06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7B7B07A4" w14:textId="77777777" w:rsidR="00DE06F5" w:rsidRPr="00B35F08" w:rsidRDefault="00DE06F5" w:rsidP="00DE06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39E10D19" w14:textId="77777777" w:rsidR="00DE06F5" w:rsidRPr="00B35F08" w:rsidRDefault="00DE06F5" w:rsidP="00DE06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510459E6" w:rsidR="00B00406" w:rsidRPr="00DE06F5" w:rsidRDefault="00DE06F5" w:rsidP="00161E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6BCF1" w14:textId="77777777" w:rsidR="00BA69EE" w:rsidRDefault="00BA69EE" w:rsidP="00297396">
      <w:pPr>
        <w:spacing w:after="0" w:line="240" w:lineRule="auto"/>
      </w:pPr>
      <w:r>
        <w:separator/>
      </w:r>
    </w:p>
  </w:endnote>
  <w:endnote w:type="continuationSeparator" w:id="0">
    <w:p w14:paraId="7DC6B6FD" w14:textId="77777777" w:rsidR="00BA69EE" w:rsidRDefault="00BA69EE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161EE1" w:rsidRPr="009A2557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D72E93">
      <w:rPr>
        <w:rFonts w:ascii="Arial" w:eastAsia="Times New Roman" w:hAnsi="Arial" w:cs="Arial"/>
        <w:noProof/>
        <w:sz w:val="18"/>
        <w:szCs w:val="24"/>
        <w:lang w:eastAsia="sk-SK"/>
      </w:rPr>
      <w:t>7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161EE1" w:rsidRPr="00BB3EFA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D72E93">
      <w:rPr>
        <w:rFonts w:asciiTheme="minorHAnsi" w:eastAsia="Times New Roman" w:hAnsiTheme="minorHAnsi" w:cs="Arial"/>
        <w:noProof/>
        <w:sz w:val="18"/>
        <w:szCs w:val="24"/>
        <w:lang w:eastAsia="sk-SK"/>
      </w:rPr>
      <w:t>13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161EE1" w:rsidRPr="00BB3EFA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D72E93">
      <w:rPr>
        <w:rFonts w:ascii="Calibri" w:eastAsia="Times New Roman" w:hAnsi="Calibri" w:cs="Arial"/>
        <w:noProof/>
        <w:sz w:val="18"/>
        <w:szCs w:val="24"/>
        <w:lang w:eastAsia="sk-SK"/>
      </w:rPr>
      <w:t>21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161EE1" w:rsidRPr="00570367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8343E" w14:textId="77777777" w:rsidR="00BA69EE" w:rsidRDefault="00BA69EE" w:rsidP="00297396">
      <w:pPr>
        <w:spacing w:after="0" w:line="240" w:lineRule="auto"/>
      </w:pPr>
      <w:r>
        <w:separator/>
      </w:r>
    </w:p>
  </w:footnote>
  <w:footnote w:type="continuationSeparator" w:id="0">
    <w:p w14:paraId="5ABCB3CD" w14:textId="77777777" w:rsidR="00BA69EE" w:rsidRDefault="00BA69EE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161EE1" w:rsidRPr="009C10BF" w:rsidRDefault="00161EE1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161EE1" w:rsidRPr="008228EA" w:rsidRDefault="00161EE1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161EE1" w:rsidRDefault="00161E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161EE1" w:rsidRPr="007A7341" w:rsidRDefault="00161EE1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1F33640F" w:rsidR="00161EE1" w:rsidRDefault="00BF03BD" w:rsidP="00F272A7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1AB89B1C" wp14:editId="372347D5">
          <wp:extent cx="683813" cy="541183"/>
          <wp:effectExtent l="0" t="0" r="2540" b="0"/>
          <wp:docPr id="4" name="Obrázok 4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1D32846F" w:rsidR="00161EE1" w:rsidRDefault="00466ED0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4AAB29FF" wp14:editId="2376E78B">
          <wp:extent cx="683260" cy="541020"/>
          <wp:effectExtent l="0" t="0" r="2540" b="0"/>
          <wp:docPr id="5" name="Obrázok 5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0976"/>
    <w:rsid w:val="00016F1C"/>
    <w:rsid w:val="0001726E"/>
    <w:rsid w:val="00020955"/>
    <w:rsid w:val="000218A0"/>
    <w:rsid w:val="00021918"/>
    <w:rsid w:val="0002301C"/>
    <w:rsid w:val="000246F3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2EB9"/>
    <w:rsid w:val="000B674B"/>
    <w:rsid w:val="000B6F90"/>
    <w:rsid w:val="000C0D6B"/>
    <w:rsid w:val="000C3731"/>
    <w:rsid w:val="000C718A"/>
    <w:rsid w:val="000E4433"/>
    <w:rsid w:val="000F396A"/>
    <w:rsid w:val="0012143F"/>
    <w:rsid w:val="00131AF8"/>
    <w:rsid w:val="001331D7"/>
    <w:rsid w:val="00137D84"/>
    <w:rsid w:val="001407E8"/>
    <w:rsid w:val="001514F8"/>
    <w:rsid w:val="001526C4"/>
    <w:rsid w:val="0015412A"/>
    <w:rsid w:val="00161EE1"/>
    <w:rsid w:val="0016773B"/>
    <w:rsid w:val="00170403"/>
    <w:rsid w:val="00176B80"/>
    <w:rsid w:val="00177D5A"/>
    <w:rsid w:val="00180815"/>
    <w:rsid w:val="00187776"/>
    <w:rsid w:val="001A3CF3"/>
    <w:rsid w:val="001A69BA"/>
    <w:rsid w:val="001B01C0"/>
    <w:rsid w:val="001B15BC"/>
    <w:rsid w:val="001B6932"/>
    <w:rsid w:val="001C0418"/>
    <w:rsid w:val="001C173E"/>
    <w:rsid w:val="001C645B"/>
    <w:rsid w:val="001E15B4"/>
    <w:rsid w:val="001F0635"/>
    <w:rsid w:val="00204701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5121F"/>
    <w:rsid w:val="0025567F"/>
    <w:rsid w:val="002707CD"/>
    <w:rsid w:val="00285FFB"/>
    <w:rsid w:val="002948E7"/>
    <w:rsid w:val="00297396"/>
    <w:rsid w:val="002A6EF9"/>
    <w:rsid w:val="002C4DEF"/>
    <w:rsid w:val="002D33D7"/>
    <w:rsid w:val="002D3BA1"/>
    <w:rsid w:val="002D6C87"/>
    <w:rsid w:val="002E5EB4"/>
    <w:rsid w:val="002E6C99"/>
    <w:rsid w:val="002F393A"/>
    <w:rsid w:val="002F5BED"/>
    <w:rsid w:val="003007BA"/>
    <w:rsid w:val="00306427"/>
    <w:rsid w:val="0031057C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23BE"/>
    <w:rsid w:val="00387DF4"/>
    <w:rsid w:val="003924FE"/>
    <w:rsid w:val="00393BEF"/>
    <w:rsid w:val="0039409A"/>
    <w:rsid w:val="003A31D3"/>
    <w:rsid w:val="003A67A8"/>
    <w:rsid w:val="003A6D6C"/>
    <w:rsid w:val="003B15F0"/>
    <w:rsid w:val="003B3437"/>
    <w:rsid w:val="003B62D7"/>
    <w:rsid w:val="003C1F0C"/>
    <w:rsid w:val="003C4895"/>
    <w:rsid w:val="003E623A"/>
    <w:rsid w:val="003E64B1"/>
    <w:rsid w:val="003F1257"/>
    <w:rsid w:val="00401CA0"/>
    <w:rsid w:val="0040334C"/>
    <w:rsid w:val="00410E15"/>
    <w:rsid w:val="00421204"/>
    <w:rsid w:val="0042131C"/>
    <w:rsid w:val="00426502"/>
    <w:rsid w:val="004269C5"/>
    <w:rsid w:val="004336D9"/>
    <w:rsid w:val="00445389"/>
    <w:rsid w:val="00446346"/>
    <w:rsid w:val="004660ED"/>
    <w:rsid w:val="00466ED0"/>
    <w:rsid w:val="0047322C"/>
    <w:rsid w:val="00473F9B"/>
    <w:rsid w:val="004839C3"/>
    <w:rsid w:val="00484EC7"/>
    <w:rsid w:val="0049294E"/>
    <w:rsid w:val="004966FE"/>
    <w:rsid w:val="004A6D1F"/>
    <w:rsid w:val="004B1D1F"/>
    <w:rsid w:val="004B75FE"/>
    <w:rsid w:val="004D05FD"/>
    <w:rsid w:val="004D25E1"/>
    <w:rsid w:val="004D393A"/>
    <w:rsid w:val="004D426D"/>
    <w:rsid w:val="004D606B"/>
    <w:rsid w:val="004E60E8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41875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A52AA"/>
    <w:rsid w:val="005B30FE"/>
    <w:rsid w:val="005C2B74"/>
    <w:rsid w:val="005E1820"/>
    <w:rsid w:val="005E230F"/>
    <w:rsid w:val="005E27B6"/>
    <w:rsid w:val="005E4C1B"/>
    <w:rsid w:val="005F30B4"/>
    <w:rsid w:val="005F3DBD"/>
    <w:rsid w:val="006118BF"/>
    <w:rsid w:val="006135CB"/>
    <w:rsid w:val="00616F2A"/>
    <w:rsid w:val="00620337"/>
    <w:rsid w:val="00622C4C"/>
    <w:rsid w:val="006236C8"/>
    <w:rsid w:val="00624788"/>
    <w:rsid w:val="00640194"/>
    <w:rsid w:val="006463BA"/>
    <w:rsid w:val="006500F5"/>
    <w:rsid w:val="0066349C"/>
    <w:rsid w:val="006670FF"/>
    <w:rsid w:val="00671E70"/>
    <w:rsid w:val="00675897"/>
    <w:rsid w:val="006931C3"/>
    <w:rsid w:val="006A0F28"/>
    <w:rsid w:val="006A1986"/>
    <w:rsid w:val="006A1AFD"/>
    <w:rsid w:val="006A61FE"/>
    <w:rsid w:val="006C13C8"/>
    <w:rsid w:val="006C338E"/>
    <w:rsid w:val="006D4BCF"/>
    <w:rsid w:val="006E1F75"/>
    <w:rsid w:val="006E3561"/>
    <w:rsid w:val="006F6E13"/>
    <w:rsid w:val="00713950"/>
    <w:rsid w:val="00721D12"/>
    <w:rsid w:val="007314FF"/>
    <w:rsid w:val="00732A40"/>
    <w:rsid w:val="00736C40"/>
    <w:rsid w:val="00760313"/>
    <w:rsid w:val="00760DE9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E4717"/>
    <w:rsid w:val="007E530A"/>
    <w:rsid w:val="007F732B"/>
    <w:rsid w:val="00812727"/>
    <w:rsid w:val="008149B5"/>
    <w:rsid w:val="00821D98"/>
    <w:rsid w:val="008228EA"/>
    <w:rsid w:val="0082337D"/>
    <w:rsid w:val="00824668"/>
    <w:rsid w:val="00833BAC"/>
    <w:rsid w:val="00834D66"/>
    <w:rsid w:val="00850E54"/>
    <w:rsid w:val="0085112A"/>
    <w:rsid w:val="0085134E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8F7BBC"/>
    <w:rsid w:val="00900594"/>
    <w:rsid w:val="0091485F"/>
    <w:rsid w:val="0093580E"/>
    <w:rsid w:val="00936E22"/>
    <w:rsid w:val="00951DEF"/>
    <w:rsid w:val="009626FA"/>
    <w:rsid w:val="00965065"/>
    <w:rsid w:val="00965448"/>
    <w:rsid w:val="0097310D"/>
    <w:rsid w:val="00980020"/>
    <w:rsid w:val="009A2557"/>
    <w:rsid w:val="009A2675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9F7894"/>
    <w:rsid w:val="009F7C92"/>
    <w:rsid w:val="00A009FF"/>
    <w:rsid w:val="00A03016"/>
    <w:rsid w:val="00A154A6"/>
    <w:rsid w:val="00A20696"/>
    <w:rsid w:val="00A209BB"/>
    <w:rsid w:val="00A21F40"/>
    <w:rsid w:val="00A23BE3"/>
    <w:rsid w:val="00A2689E"/>
    <w:rsid w:val="00A318C9"/>
    <w:rsid w:val="00A363C4"/>
    <w:rsid w:val="00A42B7A"/>
    <w:rsid w:val="00A572C3"/>
    <w:rsid w:val="00A6173A"/>
    <w:rsid w:val="00A65F9C"/>
    <w:rsid w:val="00A71082"/>
    <w:rsid w:val="00A7200C"/>
    <w:rsid w:val="00A75C3E"/>
    <w:rsid w:val="00A90FE0"/>
    <w:rsid w:val="00A91EC0"/>
    <w:rsid w:val="00AC0120"/>
    <w:rsid w:val="00AE3334"/>
    <w:rsid w:val="00AE353F"/>
    <w:rsid w:val="00AE4BE4"/>
    <w:rsid w:val="00AF0944"/>
    <w:rsid w:val="00AF3789"/>
    <w:rsid w:val="00AF404A"/>
    <w:rsid w:val="00AF6370"/>
    <w:rsid w:val="00AF6D51"/>
    <w:rsid w:val="00B00406"/>
    <w:rsid w:val="00B07F69"/>
    <w:rsid w:val="00B10209"/>
    <w:rsid w:val="00B107D1"/>
    <w:rsid w:val="00B13645"/>
    <w:rsid w:val="00B13E70"/>
    <w:rsid w:val="00B174FA"/>
    <w:rsid w:val="00B2405F"/>
    <w:rsid w:val="00B34CEF"/>
    <w:rsid w:val="00B4260D"/>
    <w:rsid w:val="00B426E1"/>
    <w:rsid w:val="00B4365A"/>
    <w:rsid w:val="00B4401E"/>
    <w:rsid w:val="00B45824"/>
    <w:rsid w:val="00B523E2"/>
    <w:rsid w:val="00B52C02"/>
    <w:rsid w:val="00B57361"/>
    <w:rsid w:val="00B747B7"/>
    <w:rsid w:val="00B84764"/>
    <w:rsid w:val="00B9021E"/>
    <w:rsid w:val="00B96436"/>
    <w:rsid w:val="00BA69EE"/>
    <w:rsid w:val="00BA6FE3"/>
    <w:rsid w:val="00BB3EFA"/>
    <w:rsid w:val="00BB5079"/>
    <w:rsid w:val="00BB58B3"/>
    <w:rsid w:val="00BB6CC4"/>
    <w:rsid w:val="00BD005E"/>
    <w:rsid w:val="00BD2500"/>
    <w:rsid w:val="00BF03BD"/>
    <w:rsid w:val="00C052FF"/>
    <w:rsid w:val="00C10E17"/>
    <w:rsid w:val="00C11A6E"/>
    <w:rsid w:val="00C213B4"/>
    <w:rsid w:val="00C2269F"/>
    <w:rsid w:val="00C2697A"/>
    <w:rsid w:val="00C26BDE"/>
    <w:rsid w:val="00C31B6B"/>
    <w:rsid w:val="00C36149"/>
    <w:rsid w:val="00C47274"/>
    <w:rsid w:val="00C51523"/>
    <w:rsid w:val="00C532A4"/>
    <w:rsid w:val="00C564E4"/>
    <w:rsid w:val="00C575C8"/>
    <w:rsid w:val="00C61333"/>
    <w:rsid w:val="00C62B07"/>
    <w:rsid w:val="00C74B6A"/>
    <w:rsid w:val="00C80073"/>
    <w:rsid w:val="00C82158"/>
    <w:rsid w:val="00C843F7"/>
    <w:rsid w:val="00C86F70"/>
    <w:rsid w:val="00CA3AFA"/>
    <w:rsid w:val="00CA6C90"/>
    <w:rsid w:val="00CB56FC"/>
    <w:rsid w:val="00CC2F21"/>
    <w:rsid w:val="00CC52B7"/>
    <w:rsid w:val="00CC62DD"/>
    <w:rsid w:val="00CD0BDD"/>
    <w:rsid w:val="00CD6015"/>
    <w:rsid w:val="00CE28B6"/>
    <w:rsid w:val="00CF7260"/>
    <w:rsid w:val="00CF7EBC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72E93"/>
    <w:rsid w:val="00D8579F"/>
    <w:rsid w:val="00DA0E57"/>
    <w:rsid w:val="00DA7B0A"/>
    <w:rsid w:val="00DA7DEB"/>
    <w:rsid w:val="00DB2737"/>
    <w:rsid w:val="00DB2757"/>
    <w:rsid w:val="00DB42CE"/>
    <w:rsid w:val="00DB7CD8"/>
    <w:rsid w:val="00DD6852"/>
    <w:rsid w:val="00DE06F5"/>
    <w:rsid w:val="00DE1611"/>
    <w:rsid w:val="00DE30EF"/>
    <w:rsid w:val="00DE377F"/>
    <w:rsid w:val="00DF1D0E"/>
    <w:rsid w:val="00E020C7"/>
    <w:rsid w:val="00E02BF7"/>
    <w:rsid w:val="00E04D19"/>
    <w:rsid w:val="00E14B64"/>
    <w:rsid w:val="00E17B5C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874B4"/>
    <w:rsid w:val="00E9010D"/>
    <w:rsid w:val="00E97860"/>
    <w:rsid w:val="00EA6606"/>
    <w:rsid w:val="00EB2874"/>
    <w:rsid w:val="00EB336E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814"/>
    <w:rsid w:val="00F66C9E"/>
    <w:rsid w:val="00F74B96"/>
    <w:rsid w:val="00F97F3D"/>
    <w:rsid w:val="00FA31EC"/>
    <w:rsid w:val="00FB28C1"/>
    <w:rsid w:val="00FC00A8"/>
    <w:rsid w:val="00FD6ABB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22889789-BB3F-4393-A1E6-EFF33808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portal.s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viroportal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B26F-F745-4EA6-B2A7-06B9C5D8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21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102</cp:revision>
  <cp:lastPrinted>2017-02-06T13:49:00Z</cp:lastPrinted>
  <dcterms:created xsi:type="dcterms:W3CDTF">2016-11-10T09:57:00Z</dcterms:created>
  <dcterms:modified xsi:type="dcterms:W3CDTF">2017-05-10T08:14:00Z</dcterms:modified>
</cp:coreProperties>
</file>