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9B" w:rsidRPr="00D4119B" w:rsidRDefault="00A91AD2" w:rsidP="00112D0A">
      <w:pPr>
        <w:pStyle w:val="Nadpis1"/>
        <w:jc w:val="center"/>
      </w:pPr>
      <w:bookmarkStart w:id="0" w:name="_Toc493149557"/>
      <w:r w:rsidRPr="00A65061">
        <w:t>Projektové</w:t>
      </w:r>
      <w:r>
        <w:t xml:space="preserve"> </w:t>
      </w:r>
      <w:r w:rsidR="00D4119B" w:rsidRPr="00D4119B">
        <w:t>podpory ako súčasť Spoločnej poľnohospodárskej politiky Európskej únie.</w:t>
      </w:r>
    </w:p>
    <w:p w:rsidR="00112D0A" w:rsidRPr="00D4119B" w:rsidRDefault="00D4119B" w:rsidP="00112D0A">
      <w:pPr>
        <w:pStyle w:val="Nadpis1"/>
        <w:jc w:val="center"/>
      </w:pPr>
      <w:r w:rsidRPr="00D4119B">
        <w:t xml:space="preserve"> Legislatíva Európskej únie </w:t>
      </w:r>
      <w:r w:rsidR="00112D0A" w:rsidRPr="00D4119B">
        <w:t xml:space="preserve">je pre každého žiadateľa o podporu </w:t>
      </w:r>
      <w:r w:rsidRPr="00D4119B">
        <w:t>r</w:t>
      </w:r>
      <w:r w:rsidR="00112D0A" w:rsidRPr="00D4119B">
        <w:t>ovnaká a</w:t>
      </w:r>
      <w:r w:rsidRPr="00D4119B">
        <w:t> </w:t>
      </w:r>
      <w:r w:rsidR="00112D0A" w:rsidRPr="00D4119B">
        <w:t>záväzná</w:t>
      </w:r>
      <w:r w:rsidRPr="00D4119B">
        <w:t>.</w:t>
      </w:r>
    </w:p>
    <w:p w:rsidR="00112D0A" w:rsidRDefault="00501611" w:rsidP="00D4119B">
      <w:pPr>
        <w:pStyle w:val="Nadpis2"/>
      </w:pPr>
      <w:r>
        <w:t>Spoločná poľnohospodárska politika Európskej únie</w:t>
      </w:r>
    </w:p>
    <w:p w:rsidR="007D2AEA" w:rsidRPr="00891C8A" w:rsidRDefault="007D2AEA" w:rsidP="00501611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891C8A">
        <w:rPr>
          <w:b/>
          <w:color w:val="000000"/>
        </w:rPr>
        <w:t>S</w:t>
      </w:r>
      <w:r w:rsidRPr="000F5FE9">
        <w:rPr>
          <w:b/>
          <w:color w:val="000000"/>
        </w:rPr>
        <w:t>poločná poľnohospodárska politika</w:t>
      </w:r>
      <w:r w:rsidRPr="000F5FE9">
        <w:rPr>
          <w:color w:val="000000"/>
        </w:rPr>
        <w:t xml:space="preserve"> (</w:t>
      </w:r>
      <w:r w:rsidR="00501611">
        <w:rPr>
          <w:color w:val="000000"/>
        </w:rPr>
        <w:t>ďalej len „SPP“) predstavuje jednu</w:t>
      </w:r>
      <w:r w:rsidRPr="000F5FE9">
        <w:rPr>
          <w:color w:val="000000"/>
        </w:rPr>
        <w:t xml:space="preserve"> zo základných, ale zároveň aj najkomplikovanejších</w:t>
      </w:r>
      <w:r w:rsidR="00501611">
        <w:rPr>
          <w:color w:val="000000"/>
        </w:rPr>
        <w:t xml:space="preserve">, </w:t>
      </w:r>
      <w:r w:rsidRPr="000F5FE9">
        <w:rPr>
          <w:color w:val="000000"/>
        </w:rPr>
        <w:t>najnákladnejších</w:t>
      </w:r>
      <w:r>
        <w:rPr>
          <w:color w:val="000000"/>
        </w:rPr>
        <w:t>,</w:t>
      </w:r>
      <w:r w:rsidRPr="000F5FE9">
        <w:rPr>
          <w:color w:val="000000"/>
        </w:rPr>
        <w:t xml:space="preserve"> </w:t>
      </w:r>
      <w:r w:rsidRPr="00891C8A">
        <w:rPr>
          <w:color w:val="000000"/>
        </w:rPr>
        <w:t xml:space="preserve">a najdôležitejších </w:t>
      </w:r>
      <w:r w:rsidR="00501611">
        <w:rPr>
          <w:color w:val="000000"/>
        </w:rPr>
        <w:t>politík</w:t>
      </w:r>
      <w:r w:rsidRPr="000F5FE9">
        <w:rPr>
          <w:color w:val="000000"/>
        </w:rPr>
        <w:t xml:space="preserve"> Európskej únie. </w:t>
      </w:r>
      <w:r w:rsidRPr="00891C8A">
        <w:rPr>
          <w:color w:val="000000"/>
        </w:rPr>
        <w:t>Pravidlá pre v</w:t>
      </w:r>
      <w:r w:rsidR="00501611">
        <w:rPr>
          <w:color w:val="000000"/>
        </w:rPr>
        <w:t>ytvorenie SPP</w:t>
      </w:r>
      <w:r w:rsidRPr="000F5FE9">
        <w:rPr>
          <w:color w:val="000000"/>
        </w:rPr>
        <w:t xml:space="preserve"> </w:t>
      </w:r>
      <w:r w:rsidRPr="000F5FE9">
        <w:rPr>
          <w:b/>
          <w:color w:val="000000"/>
        </w:rPr>
        <w:t>predpokladala už Rímska zmluva z marca 1957</w:t>
      </w:r>
      <w:r w:rsidRPr="00891C8A">
        <w:rPr>
          <w:color w:val="000000"/>
        </w:rPr>
        <w:t xml:space="preserve"> č. 39 - </w:t>
      </w:r>
      <w:r w:rsidR="00501611">
        <w:rPr>
          <w:color w:val="000000"/>
        </w:rPr>
        <w:t>46</w:t>
      </w:r>
      <w:r w:rsidRPr="00891C8A">
        <w:rPr>
          <w:color w:val="000000"/>
        </w:rPr>
        <w:t>,</w:t>
      </w:r>
      <w:r w:rsidRPr="000F5FE9">
        <w:rPr>
          <w:color w:val="000000"/>
        </w:rPr>
        <w:t xml:space="preserve"> ktorou bolo formálne ustanovené Európske hospodárske spoločenstvo.</w:t>
      </w:r>
      <w:r w:rsidRPr="00891C8A">
        <w:rPr>
          <w:color w:val="000000"/>
        </w:rPr>
        <w:t xml:space="preserve"> Fungovanie SPP bolo spustené v roku 1962.</w:t>
      </w:r>
    </w:p>
    <w:p w:rsidR="007D2AEA" w:rsidRPr="00891C8A" w:rsidRDefault="007D2AEA" w:rsidP="00501611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891C8A">
        <w:rPr>
          <w:b/>
          <w:color w:val="000000"/>
        </w:rPr>
        <w:t>S</w:t>
      </w:r>
      <w:r w:rsidR="00501611">
        <w:rPr>
          <w:b/>
          <w:color w:val="000000"/>
        </w:rPr>
        <w:t>PP</w:t>
      </w:r>
      <w:r w:rsidRPr="00891C8A">
        <w:rPr>
          <w:color w:val="000000"/>
        </w:rPr>
        <w:t xml:space="preserve"> si stanovila nasledovné ciele: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zaručiť dostatok potravín za pr</w:t>
      </w:r>
      <w:r w:rsidR="0038250C">
        <w:rPr>
          <w:rFonts w:ascii="Times New Roman" w:hAnsi="Times New Roman"/>
          <w:color w:val="000000"/>
          <w:sz w:val="24"/>
          <w:szCs w:val="24"/>
        </w:rPr>
        <w:t>ijateľnú cenu pre spotrebiteľov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zvýšiť</w:t>
      </w:r>
      <w:r w:rsidR="0038250C">
        <w:rPr>
          <w:rFonts w:ascii="Times New Roman" w:hAnsi="Times New Roman"/>
          <w:color w:val="000000"/>
          <w:sz w:val="24"/>
          <w:szCs w:val="24"/>
        </w:rPr>
        <w:t xml:space="preserve"> produktivitu poľnohospodárstva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 xml:space="preserve">zaistiť dobrú životnú úroveň pre </w:t>
      </w:r>
      <w:r w:rsidR="0038250C">
        <w:rPr>
          <w:rFonts w:ascii="Times New Roman" w:hAnsi="Times New Roman"/>
          <w:color w:val="000000"/>
          <w:sz w:val="24"/>
          <w:szCs w:val="24"/>
        </w:rPr>
        <w:t>pracovníkov agro - sektora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sta</w:t>
      </w:r>
      <w:r w:rsidR="0038250C">
        <w:rPr>
          <w:rFonts w:ascii="Times New Roman" w:hAnsi="Times New Roman"/>
          <w:color w:val="000000"/>
          <w:sz w:val="24"/>
          <w:szCs w:val="24"/>
        </w:rPr>
        <w:t>bilizovať poľnohospodárske trhy</w:t>
      </w:r>
    </w:p>
    <w:p w:rsidR="007D2AEA" w:rsidRDefault="007D2AEA" w:rsidP="00501611">
      <w:pPr>
        <w:spacing w:after="120" w:line="240" w:lineRule="auto"/>
        <w:jc w:val="both"/>
      </w:pPr>
      <w:r w:rsidRPr="00487D4E">
        <w:rPr>
          <w:b/>
        </w:rPr>
        <w:t xml:space="preserve">SPP </w:t>
      </w:r>
      <w:r w:rsidRPr="00891C8A">
        <w:t>p</w:t>
      </w:r>
      <w:r>
        <w:t>redstavuje 3 základné princípy</w:t>
      </w:r>
      <w:r w:rsidR="0038250C">
        <w:t>:</w:t>
      </w:r>
    </w:p>
    <w:p w:rsidR="007D2AEA" w:rsidRPr="00891C8A" w:rsidRDefault="007D2AEA" w:rsidP="00A17C4F">
      <w:pPr>
        <w:pStyle w:val="Odsekzoznamu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C8A">
        <w:rPr>
          <w:rFonts w:ascii="Times New Roman" w:hAnsi="Times New Roman"/>
          <w:sz w:val="24"/>
          <w:szCs w:val="24"/>
        </w:rPr>
        <w:t xml:space="preserve">vytvorenie jednotného trhu -  odstránenie kvantitatívnych reštrikcií </w:t>
      </w:r>
    </w:p>
    <w:p w:rsidR="007D2AEA" w:rsidRPr="00891C8A" w:rsidRDefault="007D2AEA" w:rsidP="00A17C4F">
      <w:pPr>
        <w:pStyle w:val="Odsekzoznamu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C8A">
        <w:rPr>
          <w:rFonts w:ascii="Times New Roman" w:hAnsi="Times New Roman"/>
          <w:sz w:val="24"/>
          <w:szCs w:val="24"/>
        </w:rPr>
        <w:t>finančnú solidaritu</w:t>
      </w:r>
    </w:p>
    <w:p w:rsidR="00AB689B" w:rsidRPr="00D4119B" w:rsidRDefault="007D2AEA" w:rsidP="00A17C4F">
      <w:pPr>
        <w:pStyle w:val="Odsekzoznamu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C8A">
        <w:rPr>
          <w:rFonts w:ascii="Times New Roman" w:hAnsi="Times New Roman"/>
          <w:sz w:val="24"/>
          <w:szCs w:val="24"/>
        </w:rPr>
        <w:t>preferencie Spoločenstva</w:t>
      </w:r>
    </w:p>
    <w:p w:rsidR="007D2AEA" w:rsidRPr="00891C8A" w:rsidRDefault="007D2AEA" w:rsidP="00501611">
      <w:pPr>
        <w:spacing w:after="120" w:line="240" w:lineRule="auto"/>
        <w:jc w:val="both"/>
      </w:pPr>
      <w:r>
        <w:t>V období 2014 -</w:t>
      </w:r>
      <w:r w:rsidR="00405B1A">
        <w:t xml:space="preserve"> </w:t>
      </w:r>
      <w:r>
        <w:t xml:space="preserve">2020  </w:t>
      </w:r>
      <w:r w:rsidR="00D4119B">
        <w:t xml:space="preserve">SPP  reprezentuje </w:t>
      </w:r>
      <w:r w:rsidRPr="00891C8A">
        <w:t>zdieľané hospodárenie výdavkov v rámci 2 pilierov:</w:t>
      </w:r>
    </w:p>
    <w:p w:rsidR="007D2AEA" w:rsidRPr="00D4119B" w:rsidRDefault="007D2AEA" w:rsidP="00A17C4F">
      <w:pPr>
        <w:pStyle w:val="Odsekzoznamu"/>
        <w:numPr>
          <w:ilvl w:val="1"/>
          <w:numId w:val="1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119B">
        <w:rPr>
          <w:rFonts w:ascii="Times New Roman" w:hAnsi="Times New Roman"/>
          <w:sz w:val="24"/>
          <w:szCs w:val="24"/>
        </w:rPr>
        <w:t xml:space="preserve">Európsky poľnohospodársky záručný fond – EPZF </w:t>
      </w:r>
    </w:p>
    <w:p w:rsidR="007D2AEA" w:rsidRPr="00415A84" w:rsidRDefault="007D2AEA" w:rsidP="00A17C4F">
      <w:pPr>
        <w:pStyle w:val="Odsekzoznamu"/>
        <w:numPr>
          <w:ilvl w:val="1"/>
          <w:numId w:val="1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A84">
        <w:rPr>
          <w:rFonts w:ascii="Times New Roman" w:hAnsi="Times New Roman"/>
          <w:sz w:val="24"/>
          <w:szCs w:val="24"/>
        </w:rPr>
        <w:t>Európsky poľnohospodársky fond rozvoja vidieka – EPFRV</w:t>
      </w:r>
    </w:p>
    <w:p w:rsidR="007D2AEA" w:rsidRPr="00415A84" w:rsidRDefault="00A91AD2" w:rsidP="00D4119B">
      <w:pPr>
        <w:spacing w:after="120" w:line="240" w:lineRule="auto"/>
        <w:jc w:val="both"/>
      </w:pPr>
      <w:r w:rsidRPr="00415A84">
        <w:t>Projektové</w:t>
      </w:r>
      <w:r w:rsidR="00094A35" w:rsidRPr="00415A84">
        <w:t xml:space="preserve"> </w:t>
      </w:r>
      <w:r w:rsidRPr="00415A84">
        <w:t>podpory sú realizované v rámci 2</w:t>
      </w:r>
      <w:r w:rsidR="00094A35" w:rsidRPr="00415A84">
        <w:t xml:space="preserve">. piliera formou </w:t>
      </w:r>
      <w:r w:rsidRPr="00415A84">
        <w:t>projektových opatrení</w:t>
      </w:r>
      <w:r w:rsidR="00094A35" w:rsidRPr="00415A84">
        <w:t xml:space="preserve"> Programu rozvoja vidieka Slovenskej republiky 2014 – 2020. </w:t>
      </w:r>
    </w:p>
    <w:bookmarkEnd w:id="0"/>
    <w:p w:rsidR="00415A84" w:rsidRPr="005442E5" w:rsidRDefault="00415A84" w:rsidP="00415A84">
      <w:pPr>
        <w:autoSpaceDE w:val="0"/>
        <w:autoSpaceDN w:val="0"/>
        <w:adjustRightInd w:val="0"/>
        <w:spacing w:after="120" w:line="240" w:lineRule="auto"/>
        <w:jc w:val="both"/>
        <w:rPr>
          <w:rFonts w:ascii="AGaramondPro-Regular" w:hAnsi="AGaramondPro-Regular" w:cs="AGaramondPro-Regular"/>
          <w:color w:val="050505"/>
        </w:rPr>
      </w:pPr>
      <w:r>
        <w:rPr>
          <w:rFonts w:ascii="AGaramondPro-Regular" w:hAnsi="AGaramondPro-Regular" w:cs="AGaramondPro-Regular"/>
          <w:color w:val="050505"/>
        </w:rPr>
        <w:t>Od roku 2003 PPA</w:t>
      </w:r>
      <w:r w:rsidRPr="005442E5">
        <w:rPr>
          <w:rFonts w:ascii="AGaramondPro-Regular" w:hAnsi="AGaramondPro-Regular" w:cs="AGaramondPro-Regular"/>
          <w:color w:val="050505"/>
        </w:rPr>
        <w:t xml:space="preserve"> administro</w:t>
      </w:r>
      <w:r>
        <w:rPr>
          <w:rFonts w:ascii="AGaramondPro-Regular" w:hAnsi="AGaramondPro-Regular" w:cs="AGaramondPro-Regular"/>
          <w:color w:val="050505"/>
        </w:rPr>
        <w:t>vala, kontrolovala a vyplácala</w:t>
      </w:r>
      <w:r w:rsidRPr="005442E5">
        <w:rPr>
          <w:rFonts w:ascii="AGaramondPro-Regular" w:hAnsi="AGaramondPro-Regular" w:cs="AGaramondPro-Regular"/>
          <w:color w:val="050505"/>
        </w:rPr>
        <w:t xml:space="preserve"> </w:t>
      </w:r>
      <w:r w:rsidRPr="005442E5">
        <w:rPr>
          <w:rFonts w:ascii="AGaramondPro-Regular" w:hAnsi="AGaramondPro-Regular" w:cs="AGaramondPro-Regular"/>
          <w:b/>
          <w:color w:val="050505"/>
        </w:rPr>
        <w:t>projektové podpory</w:t>
      </w:r>
      <w:r w:rsidRPr="005442E5">
        <w:rPr>
          <w:rFonts w:ascii="AGaramondPro-Regular" w:hAnsi="AGaramondPro-Regular" w:cs="AGaramondPro-Regular"/>
          <w:color w:val="050505"/>
        </w:rPr>
        <w:t xml:space="preserve"> v rámci:</w:t>
      </w:r>
    </w:p>
    <w:p w:rsidR="006E0326" w:rsidRPr="006E0326" w:rsidRDefault="00415A84" w:rsidP="006E032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Sektorového operačného programu Poľnohospodárstvo a rozvoj vidieka (ďalej len</w:t>
      </w:r>
      <w:r w:rsidR="00AF0C4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“SOP P – RV“), Plánu rozvoja vidieka SR 2004 – 2006 z Európskeho poľnohospodárskeho usmerňovacieho a záruč</w:t>
      </w:r>
      <w:r w:rsidR="006E0326">
        <w:rPr>
          <w:rFonts w:ascii="Times New Roman" w:eastAsia="Times New Roman" w:hAnsi="Times New Roman"/>
          <w:sz w:val="24"/>
          <w:szCs w:val="24"/>
          <w:lang w:eastAsia="sk-SK"/>
        </w:rPr>
        <w:t>ného fondu (ďalej len „EAGGF“).</w:t>
      </w:r>
    </w:p>
    <w:p w:rsidR="00415A84" w:rsidRPr="005442E5" w:rsidRDefault="00415A84" w:rsidP="00415A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Programu rozvoja vidiek</w:t>
      </w:r>
      <w:r w:rsidR="00F91572">
        <w:rPr>
          <w:rFonts w:ascii="Times New Roman" w:eastAsia="Times New Roman" w:hAnsi="Times New Roman"/>
          <w:sz w:val="24"/>
          <w:szCs w:val="24"/>
          <w:lang w:eastAsia="sk-SK"/>
        </w:rPr>
        <w:t xml:space="preserve">a SR 2007 – 2013 (ďalej len </w:t>
      </w: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 xml:space="preserve">„PRV SR 2007-2013“) </w:t>
      </w:r>
      <w:r w:rsidR="00F91572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na čerpanie finančných prostriedkov z Európskeho poľnohospodárskeho fondu pre rozvoj vidieka (ďalej len „EPFRV“)</w:t>
      </w:r>
      <w:r w:rsidR="006E032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15A84" w:rsidRPr="005442E5" w:rsidRDefault="00415A84" w:rsidP="00415A84">
      <w:pPr>
        <w:pStyle w:val="Odsekzoznamu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 xml:space="preserve">Operačný program Rybné hospodárstvo SR 2007 – 2013 (ďalej len „OP RH SR </w:t>
      </w:r>
      <w:r w:rsidR="00ED4D7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2007 – 2013“</w:t>
      </w:r>
      <w:r w:rsidR="007D5460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Podpora z Európskeho fondu pre Rybné hospodárstvo (ďalej len „EFRH“) nadväzujúceho na predvstupový program SAPARD a SOP  PRV 2004 – 2006, z „Národného lesníckeho programu SR“</w:t>
      </w:r>
      <w:r w:rsidR="006E032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15A84" w:rsidRPr="005442E5" w:rsidRDefault="00415A84" w:rsidP="00415A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 xml:space="preserve">Programu rozvoja vidieka SR 2014 – 2020 (ďalej len ako „PRV SR 2014-2020“) </w:t>
      </w:r>
      <w:r w:rsidR="00A83D31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5442E5">
        <w:rPr>
          <w:rFonts w:ascii="Times New Roman" w:eastAsia="Times New Roman" w:hAnsi="Times New Roman"/>
          <w:sz w:val="24"/>
          <w:szCs w:val="24"/>
          <w:lang w:eastAsia="sk-SK"/>
        </w:rPr>
        <w:t>na čerpanie finančných prostriedkov z Európskeho poľnohospodárskeho fondu pre rozvoj vidieka (ďalej len „EPFRV“) a  OPRH 2014 – 2020 čerpanie finančných prostriedkov z  Európskeho námorného a rybárskeho fondu (ďalej len ako „ENRF“)</w:t>
      </w:r>
      <w:r w:rsidR="006E032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15A84" w:rsidRPr="00415A84" w:rsidRDefault="00415A84" w:rsidP="00415A84">
      <w:pPr>
        <w:pStyle w:val="Nadpis2"/>
      </w:pPr>
      <w:r w:rsidRPr="00415A84">
        <w:lastRenderedPageBreak/>
        <w:t xml:space="preserve">Legislatívny rámec </w:t>
      </w:r>
      <w:bookmarkStart w:id="1" w:name="_Toc67974133"/>
      <w:bookmarkStart w:id="2" w:name="_Toc136154596"/>
      <w:bookmarkStart w:id="3" w:name="_Toc136155620"/>
      <w:bookmarkStart w:id="4" w:name="_Toc241331620"/>
    </w:p>
    <w:bookmarkEnd w:id="1"/>
    <w:bookmarkEnd w:id="2"/>
    <w:bookmarkEnd w:id="3"/>
    <w:bookmarkEnd w:id="4"/>
    <w:p w:rsidR="00415A84" w:rsidRPr="00415A84" w:rsidRDefault="00415A84" w:rsidP="00415A84">
      <w:pPr>
        <w:pStyle w:val="Nadpis2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5A84">
        <w:rPr>
          <w:rFonts w:ascii="Times New Roman" w:eastAsia="Times New Roman" w:hAnsi="Times New Roman" w:cs="Times New Roman"/>
          <w:color w:val="auto"/>
          <w:sz w:val="24"/>
          <w:szCs w:val="24"/>
        </w:rPr>
        <w:t>Legislatívu pre projektové podpory nájdete na stránke PPA tu:</w:t>
      </w:r>
    </w:p>
    <w:p w:rsidR="00415A84" w:rsidRDefault="00415A84" w:rsidP="00415A84">
      <w:pPr>
        <w:pStyle w:val="Nadpis2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5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415A84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http://www.apa.sk/pre-projektove-podpory</w:t>
        </w:r>
      </w:hyperlink>
      <w:r w:rsidRPr="00415A84">
        <w:rPr>
          <w:rStyle w:val="Hypertextovprepojenie"/>
        </w:rPr>
        <w:t xml:space="preserve"> </w:t>
      </w:r>
      <w:r w:rsidRPr="00415A8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91AD2" w:rsidRPr="00A91AD2" w:rsidRDefault="00A91AD2" w:rsidP="00A91AD2"/>
    <w:p w:rsidR="00415A84" w:rsidRPr="00415A84" w:rsidRDefault="00501611" w:rsidP="00415A84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</w:t>
      </w:r>
      <w:r w:rsidR="00D4119B" w:rsidRP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roces </w:t>
      </w:r>
      <w:r w:rsid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415A84" w:rsidRP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dministrovani</w:t>
      </w:r>
      <w:r w:rsid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415A84" w:rsidRP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, kontrol</w:t>
      </w:r>
      <w:r w:rsid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</w:t>
      </w:r>
      <w:r w:rsidR="00415A84" w:rsidRP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 vyplácani</w:t>
      </w:r>
      <w:r w:rsid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415A84" w:rsidRPr="00415A8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projektových podpôr</w:t>
      </w:r>
    </w:p>
    <w:p w:rsidR="00CE0C9D" w:rsidRDefault="00415A84" w:rsidP="00415A8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CE0C9D">
        <w:rPr>
          <w:b/>
          <w:color w:val="000000"/>
        </w:rPr>
        <w:t>Žiadosť o nenávratný finančný príspevok</w:t>
      </w:r>
      <w:r>
        <w:rPr>
          <w:color w:val="000000"/>
        </w:rPr>
        <w:t xml:space="preserve"> </w:t>
      </w:r>
    </w:p>
    <w:p w:rsidR="00415A84" w:rsidRPr="005442E5" w:rsidRDefault="006B36F9" w:rsidP="00415A8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6B36F9">
        <w:rPr>
          <w:color w:val="000000"/>
        </w:rPr>
        <w:t>Žiadosť o nenávratný finančný príspevok</w:t>
      </w:r>
      <w:r>
        <w:rPr>
          <w:color w:val="000000"/>
        </w:rPr>
        <w:t xml:space="preserve"> (ďalej len „ŽoNFP“)</w:t>
      </w:r>
      <w:r w:rsidR="00415A84" w:rsidRPr="005442E5">
        <w:rPr>
          <w:color w:val="000000"/>
        </w:rPr>
        <w:t xml:space="preserve"> je základným dokumentom, ktorým žiadateľ na základe vyhlásenej výzvy na predkladanie ŽoNFP žiada PPA o spolufinancovanie projektu z finančných prostriedkov EÚ a štátneho rozpočtu určených </w:t>
      </w:r>
      <w:r>
        <w:rPr>
          <w:color w:val="000000"/>
        </w:rPr>
        <w:br/>
      </w:r>
      <w:r w:rsidR="00415A84" w:rsidRPr="005442E5">
        <w:rPr>
          <w:color w:val="000000"/>
        </w:rPr>
        <w:t>na danú výzvu. PPA pri schvaľovaní ŽoNFP vykonáva administratívnu</w:t>
      </w:r>
      <w:r w:rsidR="00C846E0">
        <w:rPr>
          <w:color w:val="000000"/>
        </w:rPr>
        <w:t>,</w:t>
      </w:r>
      <w:r w:rsidR="00415A84" w:rsidRPr="005442E5">
        <w:rPr>
          <w:color w:val="000000"/>
        </w:rPr>
        <w:t xml:space="preserve"> formálnu a vecnú kontrolu, ktorú vykonáva v súlade s princípmi transparentnosti, rovnakého zaobchádzania, nediskriminácie a dodržiavania horizontálnych princípov. </w:t>
      </w:r>
    </w:p>
    <w:p w:rsidR="00415A84" w:rsidRPr="005442E5" w:rsidRDefault="00415A84" w:rsidP="00415A84">
      <w:pPr>
        <w:spacing w:after="120" w:line="240" w:lineRule="auto"/>
        <w:jc w:val="both"/>
      </w:pPr>
      <w:r w:rsidRPr="005442E5">
        <w:rPr>
          <w:color w:val="000000"/>
        </w:rPr>
        <w:t>Z hľadiska objektívnosti vyhodnocovania</w:t>
      </w:r>
      <w:r>
        <w:rPr>
          <w:color w:val="000000"/>
        </w:rPr>
        <w:t>,</w:t>
      </w:r>
      <w:r w:rsidRPr="005442E5">
        <w:rPr>
          <w:color w:val="000000"/>
        </w:rPr>
        <w:t xml:space="preserve"> PPA uplatňuje náhodný výber vyhodnocovateľov prostredníctvom informačného systému. V procese vyhodnocovania projektov využíva </w:t>
      </w:r>
      <w:r w:rsidRPr="005442E5">
        <w:rPr>
          <w:b/>
          <w:color w:val="000000"/>
        </w:rPr>
        <w:t>princíp štyroch očí,</w:t>
      </w:r>
      <w:r w:rsidRPr="005442E5">
        <w:t xml:space="preserve"> čím sú vytvorené také podmienky, aby o vyhodnotení projektu nemohol rozhodnúť jeden zamestnanec bez toho, aby jeho činnosť nebola skontrolovaná druhou oprávnenou osobou. Každá pracovná činnosť vykonaná zamestnancom je následne nezávisle skontrolovaná druhým oprávneným zamestnancom. V prípade rozporu záverov vyhodnocovateľov vstupuje do procesu vyhodnocovania tretia osoba – arbiter. Kontrola prebieha v zmysle schválených pracovných postupov, ktoré sú v súlade s nariadeniami EK, ich usmerneniami, odporúčaniami, ako aj všeobecne záväznými právnymi predpismi SR.</w:t>
      </w:r>
    </w:p>
    <w:p w:rsidR="00415A84" w:rsidRPr="005442E5" w:rsidRDefault="00415A84" w:rsidP="00415A84">
      <w:pPr>
        <w:autoSpaceDE w:val="0"/>
        <w:autoSpaceDN w:val="0"/>
        <w:adjustRightInd w:val="0"/>
        <w:spacing w:after="120" w:line="240" w:lineRule="auto"/>
        <w:jc w:val="both"/>
      </w:pPr>
      <w:r w:rsidRPr="005442E5">
        <w:t>Výstupom z odborného hodnotenia hodnotiacich (bodovacích) kritérií sú bodovacie hárky ŽoNFP každého hodnotiteľa, ktorý sa podieľal na odbornom hodnotení. Hodnotiaci hárok obsahuje vyhodnotenie hodnotiacich kritérií z odborného hodnotenia a súčet dosiahnutých bodov.</w:t>
      </w:r>
    </w:p>
    <w:p w:rsidR="00415A84" w:rsidRPr="005442E5" w:rsidRDefault="00415A84" w:rsidP="00415A84">
      <w:pPr>
        <w:spacing w:after="120" w:line="240" w:lineRule="auto"/>
        <w:jc w:val="both"/>
      </w:pPr>
      <w:r w:rsidRPr="005442E5">
        <w:t>V procese vyhodnocovania PPA zabezpečuje ochranu finančných záujmov Slovenskej republiky a EÚ prostredníctvom kontrol efektívnosti a hospodárnosti výdavkov, napr. prieskumom trhu, špeciálnym softvérom obsahujúcim priemerné ceny stavebných materiálov</w:t>
      </w:r>
      <w:r w:rsidR="00E27FE2" w:rsidRPr="00D86FB5">
        <w:t>, p</w:t>
      </w:r>
      <w:r w:rsidRPr="00E27FE2">
        <w:t>orovnávaním</w:t>
      </w:r>
      <w:r w:rsidRPr="005442E5">
        <w:t xml:space="preserve"> cien technológií tovarov a služieb s podobnými technológiami iných projektov.</w:t>
      </w:r>
    </w:p>
    <w:p w:rsidR="00415A84" w:rsidRPr="005442E5" w:rsidRDefault="00415A84" w:rsidP="00415A84">
      <w:pPr>
        <w:spacing w:after="120" w:line="240" w:lineRule="auto"/>
        <w:jc w:val="both"/>
      </w:pPr>
      <w:r w:rsidRPr="005442E5">
        <w:t>Po kontrole splnenia všetkých podmienok stanovených vo výzve</w:t>
      </w:r>
      <w:r>
        <w:t>,</w:t>
      </w:r>
      <w:r w:rsidRPr="005442E5">
        <w:t xml:space="preserve"> PPA vydá rozhodnutie o schválení/neschválení žiadosti</w:t>
      </w:r>
      <w:r w:rsidR="00C846E0">
        <w:t>,</w:t>
      </w:r>
      <w:r w:rsidRPr="005442E5">
        <w:t xml:space="preserve"> resp. o zastavení konania. V prípade, ak žiadateľ splnil všetky podmienky stanovené vo výzve a súčet dosiahnutých bodov za hodnotiace kritériá sa nachádza nad čiarou finančných možností, PPA vydá rozhodnutie o schválení ŽoNFP. V prípade, ak žiadateľ splnil všetky podmienky stanovené vo výzve a súčet dosiahnutých bodov </w:t>
      </w:r>
      <w:r w:rsidR="00A86286">
        <w:br/>
      </w:r>
      <w:r w:rsidRPr="005442E5">
        <w:t xml:space="preserve">za hodnotiace kritériá sa nachádza pod čiarou finančných možností, PPA vydá rozhodnutie o neschválení ŽoNFP z dôvodu nedostatku finančných prostriedkov. Rovnako v prípade, ak žiadateľ nesplnil niektorú z podmienok stanovených vo výzve, PPA vydá rozhodnutie o neschválení ŽoNFP. </w:t>
      </w:r>
    </w:p>
    <w:p w:rsidR="00CE0C9D" w:rsidRPr="00CE0C9D" w:rsidRDefault="00CE0C9D" w:rsidP="00415A84">
      <w:pPr>
        <w:spacing w:after="120" w:line="240" w:lineRule="auto"/>
        <w:jc w:val="both"/>
        <w:rPr>
          <w:b/>
        </w:rPr>
      </w:pPr>
      <w:r w:rsidRPr="00CE0C9D">
        <w:rPr>
          <w:b/>
        </w:rPr>
        <w:t xml:space="preserve">Zmluva o poskytnutí </w:t>
      </w:r>
      <w:r w:rsidR="00D86FB5">
        <w:rPr>
          <w:b/>
        </w:rPr>
        <w:t>n</w:t>
      </w:r>
      <w:r w:rsidRPr="00CE0C9D">
        <w:rPr>
          <w:b/>
        </w:rPr>
        <w:t xml:space="preserve">enávratného finančného </w:t>
      </w:r>
      <w:r w:rsidRPr="00D86FB5">
        <w:rPr>
          <w:b/>
        </w:rPr>
        <w:t>príspevku</w:t>
      </w:r>
    </w:p>
    <w:p w:rsidR="00415A84" w:rsidRPr="006B36F9" w:rsidRDefault="00415A84" w:rsidP="00415A84">
      <w:pPr>
        <w:spacing w:after="120" w:line="240" w:lineRule="auto"/>
        <w:jc w:val="both"/>
        <w:rPr>
          <w:b/>
        </w:rPr>
      </w:pPr>
      <w:r w:rsidRPr="005442E5">
        <w:t>Po nadobudnutí právoplatnosti rozhodnutia</w:t>
      </w:r>
      <w:r w:rsidR="00CE0C9D" w:rsidRPr="006B36F9">
        <w:t>,</w:t>
      </w:r>
      <w:r w:rsidRPr="006B36F9">
        <w:t xml:space="preserve"> PPA vypracuje zmluvu </w:t>
      </w:r>
      <w:r w:rsidR="006B36F9" w:rsidRPr="006B36F9">
        <w:t xml:space="preserve">o poskytnutí nenávratného finančného príspevku </w:t>
      </w:r>
      <w:r w:rsidR="006B36F9" w:rsidRPr="006B36F9">
        <w:rPr>
          <w:color w:val="000000"/>
        </w:rPr>
        <w:t xml:space="preserve">(ďalej </w:t>
      </w:r>
      <w:r w:rsidR="006B36F9" w:rsidRPr="00D86FB5">
        <w:rPr>
          <w:color w:val="000000"/>
        </w:rPr>
        <w:t>len „zmluva o NFP“)</w:t>
      </w:r>
      <w:r w:rsidRPr="005442E5">
        <w:t>, ktorú po podpísaní oboch strán zverejní v Centrálnom registri zmlúv</w:t>
      </w:r>
      <w:r w:rsidR="00CE0C9D">
        <w:t>. Zmluva</w:t>
      </w:r>
      <w:r w:rsidRPr="005442E5">
        <w:t xml:space="preserve"> </w:t>
      </w:r>
      <w:r w:rsidR="00CE0C9D">
        <w:t>s</w:t>
      </w:r>
      <w:r w:rsidR="002B4A9B">
        <w:t>a stáva</w:t>
      </w:r>
      <w:r w:rsidRPr="005442E5">
        <w:t xml:space="preserve"> účinnou </w:t>
      </w:r>
      <w:r>
        <w:t xml:space="preserve">v deň </w:t>
      </w:r>
      <w:r w:rsidRPr="005442E5">
        <w:t xml:space="preserve">nasledujúci po </w:t>
      </w:r>
      <w:r>
        <w:t xml:space="preserve">dni </w:t>
      </w:r>
      <w:r w:rsidRPr="005442E5">
        <w:t>jej zverejnen</w:t>
      </w:r>
      <w:r>
        <w:t>ia</w:t>
      </w:r>
      <w:r w:rsidRPr="005442E5">
        <w:t xml:space="preserve">. </w:t>
      </w:r>
    </w:p>
    <w:p w:rsidR="00CE0C9D" w:rsidRDefault="00CE0C9D" w:rsidP="00415A84">
      <w:pPr>
        <w:spacing w:after="120" w:line="240" w:lineRule="auto"/>
        <w:jc w:val="both"/>
      </w:pPr>
    </w:p>
    <w:p w:rsidR="00CE0C9D" w:rsidRPr="005442E5" w:rsidRDefault="00CE0C9D" w:rsidP="00415A84">
      <w:pPr>
        <w:spacing w:after="120" w:line="240" w:lineRule="auto"/>
        <w:jc w:val="both"/>
      </w:pPr>
    </w:p>
    <w:p w:rsidR="00CE0C9D" w:rsidRDefault="00CE0C9D" w:rsidP="00415A8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CE0C9D">
        <w:rPr>
          <w:b/>
          <w:color w:val="000000"/>
        </w:rPr>
        <w:lastRenderedPageBreak/>
        <w:t>Žiadosť o platbu</w:t>
      </w:r>
      <w:r w:rsidR="006B36F9">
        <w:rPr>
          <w:color w:val="000000"/>
        </w:rPr>
        <w:t xml:space="preserve"> </w:t>
      </w:r>
    </w:p>
    <w:p w:rsidR="00415A84" w:rsidRPr="005442E5" w:rsidRDefault="00415A84" w:rsidP="00415A8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</w:rPr>
      </w:pPr>
      <w:r w:rsidRPr="005442E5">
        <w:rPr>
          <w:color w:val="000000"/>
        </w:rPr>
        <w:t xml:space="preserve">Nenávratný finančný príspevok na realizáciu projektu, ktorý je predmetom </w:t>
      </w:r>
      <w:r w:rsidRPr="005442E5">
        <w:t>zmluvy o NFP, sa prijímateľovi poskytuje na základe Žiadosti o</w:t>
      </w:r>
      <w:r w:rsidR="006B36F9">
        <w:t> </w:t>
      </w:r>
      <w:r w:rsidRPr="005442E5">
        <w:t>platbu</w:t>
      </w:r>
      <w:r w:rsidR="006B36F9">
        <w:t xml:space="preserve"> </w:t>
      </w:r>
      <w:r w:rsidR="006B36F9">
        <w:rPr>
          <w:color w:val="000000"/>
        </w:rPr>
        <w:t>(ďalej len „ŽoP“)</w:t>
      </w:r>
      <w:r w:rsidRPr="005442E5">
        <w:t>. Po podaní žiadostí o platbu PPA vykonáva administratívnu finančnú kontro</w:t>
      </w:r>
      <w:r w:rsidR="00AC20C3">
        <w:t>l</w:t>
      </w:r>
      <w:r w:rsidRPr="005442E5">
        <w:t xml:space="preserve">u ŽoP. Cieľom administratívnej finančnej kontroly ŽoP je zabezpečenie splnenia zákonnosti, správnosti a oprávnenosti predložených nárokovaných finančných prostriedkov/deklarovaných výdavkov a ostatných skutočností uvedených v ŽoP vrátane ich podpornej dokumentácie a ich súladu s legislatívou EÚ a SR a zmluvou o NFP. </w:t>
      </w:r>
    </w:p>
    <w:p w:rsidR="00415A84" w:rsidRPr="005442E5" w:rsidRDefault="00415A84" w:rsidP="00415A84">
      <w:pPr>
        <w:autoSpaceDE w:val="0"/>
        <w:autoSpaceDN w:val="0"/>
        <w:adjustRightInd w:val="0"/>
        <w:spacing w:after="120" w:line="240" w:lineRule="auto"/>
        <w:jc w:val="both"/>
      </w:pPr>
      <w:r w:rsidRPr="005442E5">
        <w:t xml:space="preserve">V rámci kontroly ŽoP vykonanej formou administratívnej finančnej kontroly je PPA povinná vykonať taktiež kontrolu relevantnej podpornej dokumentácie, ktorá tvorí prílohu ŽoP. Minimálny rozsah podpornej dokumentácie vo vzťahu k jednotlivým výdavkom je zverejnený na webovom sídle PPA. </w:t>
      </w:r>
    </w:p>
    <w:p w:rsidR="00415A84" w:rsidRPr="005442E5" w:rsidRDefault="00415A84" w:rsidP="00415A84">
      <w:pPr>
        <w:autoSpaceDE w:val="0"/>
        <w:autoSpaceDN w:val="0"/>
        <w:adjustRightInd w:val="0"/>
        <w:spacing w:after="120" w:line="240" w:lineRule="auto"/>
        <w:jc w:val="both"/>
      </w:pPr>
      <w:r w:rsidRPr="005442E5">
        <w:t xml:space="preserve">Na to, aby bola prijímateľovi schválená ŽoP, musí byť kontrola celej ŽoP vykonaná vždy formou administratívnej finančnej kontroly, je doplnená aj formou </w:t>
      </w:r>
      <w:r w:rsidRPr="00D86FB5">
        <w:t>finančnej</w:t>
      </w:r>
      <w:r w:rsidRPr="005442E5">
        <w:t xml:space="preserve"> kontroly </w:t>
      </w:r>
      <w:r w:rsidR="00B01740">
        <w:br/>
      </w:r>
      <w:r w:rsidRPr="005442E5">
        <w:t xml:space="preserve">na mieste, ktorá sa vykonáva na základe rizikovej analýzy alebo zistených nedostatkov </w:t>
      </w:r>
      <w:r w:rsidR="00831AF6">
        <w:br/>
      </w:r>
      <w:r w:rsidRPr="005442E5">
        <w:t xml:space="preserve">pri administratívnej finančnej kontrole ŽoP. V súčasnosti PPA vykonáva finančnú kontrolu </w:t>
      </w:r>
      <w:r w:rsidR="00831AF6">
        <w:br/>
      </w:r>
      <w:r w:rsidRPr="005442E5">
        <w:t>na mieste pri každom jednotlivom projekte (t. j. 100 % kontrola projektov), okrem podopatrenia 6.1, kde sa vykonáva kontrola prostredníctvom rizikovej analýzy. Momentom ukončenia finančnej kontroly ŽoP je zaslanie správy z administratívnej finančnej kontroly. Ak v kontrole neboli zistené nedostatky, vyplatí sa ŽoP v požadovanej sume.</w:t>
      </w:r>
    </w:p>
    <w:p w:rsidR="00674996" w:rsidRDefault="00674996" w:rsidP="00A91AD2">
      <w:pPr>
        <w:tabs>
          <w:tab w:val="left" w:pos="567"/>
        </w:tabs>
        <w:spacing w:after="120" w:line="240" w:lineRule="auto"/>
        <w:jc w:val="both"/>
        <w:rPr>
          <w:highlight w:val="cyan"/>
        </w:rPr>
      </w:pPr>
    </w:p>
    <w:p w:rsidR="00674996" w:rsidRPr="00CE0C9D" w:rsidRDefault="00674996" w:rsidP="00A91AD2">
      <w:pPr>
        <w:tabs>
          <w:tab w:val="left" w:pos="567"/>
        </w:tabs>
        <w:spacing w:after="120" w:line="240" w:lineRule="auto"/>
        <w:jc w:val="both"/>
        <w:rPr>
          <w:b/>
        </w:rPr>
      </w:pPr>
      <w:r w:rsidRPr="00CE0C9D">
        <w:rPr>
          <w:b/>
        </w:rPr>
        <w:t>Finančné kontroly na mieste</w:t>
      </w:r>
    </w:p>
    <w:p w:rsidR="00A91AD2" w:rsidRPr="00CE0C9D" w:rsidRDefault="00A91AD2" w:rsidP="00A91AD2">
      <w:pPr>
        <w:tabs>
          <w:tab w:val="left" w:pos="567"/>
        </w:tabs>
        <w:spacing w:after="120" w:line="240" w:lineRule="auto"/>
        <w:jc w:val="both"/>
      </w:pPr>
      <w:r w:rsidRPr="00CE0C9D">
        <w:t xml:space="preserve">Základnou podmienkou na poskytnutie projektových podpôr je preukázať oprávnenosť vynaložených výdavkov a dodržanie podmienok poskytnutia Nenávratného finančného príspevku v zmysle Zmluvy. </w:t>
      </w:r>
    </w:p>
    <w:p w:rsidR="00A91AD2" w:rsidRPr="00CD5B03" w:rsidRDefault="00A91AD2" w:rsidP="00A91AD2">
      <w:pPr>
        <w:tabs>
          <w:tab w:val="left" w:pos="567"/>
        </w:tabs>
        <w:spacing w:after="120" w:line="240" w:lineRule="auto"/>
        <w:jc w:val="both"/>
        <w:rPr>
          <w:highlight w:val="cyan"/>
        </w:rPr>
      </w:pPr>
      <w:r w:rsidRPr="00CE0C9D">
        <w:t xml:space="preserve"> Systém administratívnych kontrol je doplnený systémom finančných kontrol na mieste (ďalej len „FKnM“). FKnM sa vykonávajú v</w:t>
      </w:r>
      <w:r w:rsidR="008A74FB">
        <w:t> </w:t>
      </w:r>
      <w:r w:rsidRPr="00CE0C9D">
        <w:t>prípadoch</w:t>
      </w:r>
      <w:r w:rsidR="008A74FB">
        <w:t>,</w:t>
      </w:r>
      <w:r w:rsidRPr="00CE0C9D">
        <w:t xml:space="preserve"> ak z administratívnej finančnej kontroly vyplynula nutnosť preveriť skutočnosti realizované na projekte na mieste u prijímateľa, žiadosť o platbu bola vybraná na kontrolu na mieste z dôvodu rizikovej analýzy, zo Správy z FKnM vyplynula nutnosť preveriť opakovane realizáciu projektu na </w:t>
      </w:r>
      <w:r w:rsidRPr="00A65061">
        <w:t>mieste u P</w:t>
      </w:r>
      <w:r w:rsidR="00A65061" w:rsidRPr="00A65061">
        <w:t>rijímateľa</w:t>
      </w:r>
      <w:r w:rsidRPr="00A65061">
        <w:t xml:space="preserve">, </w:t>
      </w:r>
      <w:r w:rsidRPr="00CE0C9D">
        <w:t>z podnetu/výsledku auditu Európskej komisie</w:t>
      </w:r>
      <w:r w:rsidR="00B53385">
        <w:t>,</w:t>
      </w:r>
      <w:r w:rsidRPr="00CE0C9D">
        <w:t xml:space="preserve"> alebo Certifikačného orgánu vyplynula povinnosť preveriť konkrétne skutočnosti realizované na mieste u prijímateľa presne špecifikované v požiadavke.</w:t>
      </w:r>
    </w:p>
    <w:p w:rsidR="00A91AD2" w:rsidRPr="00CE0C9D" w:rsidRDefault="00A91AD2" w:rsidP="00A91AD2">
      <w:pPr>
        <w:tabs>
          <w:tab w:val="left" w:pos="567"/>
        </w:tabs>
        <w:spacing w:after="120" w:line="240" w:lineRule="auto"/>
        <w:jc w:val="both"/>
      </w:pPr>
      <w:r w:rsidRPr="00CE0C9D">
        <w:t xml:space="preserve">Sekcia kontroly okrem finančnej kontroly na mieste vykonáva opakované finančné kontroly </w:t>
      </w:r>
      <w:r w:rsidR="00917A85">
        <w:br/>
      </w:r>
      <w:r w:rsidRPr="00CE0C9D">
        <w:t xml:space="preserve">na mieste a návštevy na mieste. </w:t>
      </w:r>
    </w:p>
    <w:p w:rsidR="00A91AD2" w:rsidRPr="00CE0C9D" w:rsidRDefault="00A91AD2" w:rsidP="00A91AD2">
      <w:pPr>
        <w:tabs>
          <w:tab w:val="left" w:pos="567"/>
        </w:tabs>
        <w:spacing w:after="120" w:line="240" w:lineRule="auto"/>
        <w:jc w:val="both"/>
      </w:pPr>
      <w:r w:rsidRPr="00CE0C9D">
        <w:t>PPA je oprávnená overovať na mieste vybrané skutočnosti aj opakovane, pokiaľ je to potrebné pre správne stanovenie oprávnenosti výdavkov, alebo je výkon uvedenej činnosti potrebný z iných relevantných dôvodov (napr. podozrenie z nezrovnalostí, žiadosť Európskej komisie, žiadosť vnútroštátnych orgánov). Opakovaná finančná kontrola na mieste sa môže vykonať u prijímateľa napríklad aj v</w:t>
      </w:r>
      <w:r w:rsidR="00FF3A9D">
        <w:t> </w:t>
      </w:r>
      <w:r w:rsidRPr="00CE0C9D">
        <w:t>prípade</w:t>
      </w:r>
      <w:r w:rsidR="00FF3A9D">
        <w:t>,</w:t>
      </w:r>
      <w:r w:rsidRPr="00CE0C9D">
        <w:t xml:space="preserve"> ak je potrebné skontrolovať prijaté opatrenia na nápravu zistených nedostatkov, t.j. skontrolovať jednu časť predmetu FKnM. V prípade rozdielnych záverov z FKnM a opakovanej finančnej kontroly na mieste je pre ďalšie konanie PPA rozhodujúci záver z opakovanej finančnej kontroly na mieste.</w:t>
      </w:r>
    </w:p>
    <w:p w:rsidR="00A91AD2" w:rsidRPr="00CE0C9D" w:rsidRDefault="00A91AD2" w:rsidP="00A91AD2">
      <w:pPr>
        <w:tabs>
          <w:tab w:val="left" w:pos="567"/>
        </w:tabs>
        <w:spacing w:after="120" w:line="240" w:lineRule="auto"/>
        <w:jc w:val="both"/>
      </w:pPr>
      <w:r w:rsidRPr="00CE0C9D">
        <w:t>V zmysle nariadenia Komisie ES č. 809</w:t>
      </w:r>
      <w:r w:rsidR="00F71DDC">
        <w:t>/2014 v súlade s čl. 48 ods. 5</w:t>
      </w:r>
      <w:r w:rsidRPr="00CE0C9D">
        <w:t xml:space="preserve"> sa má vykonať minimálne jedna osobná účasť na podporovanej operácii</w:t>
      </w:r>
      <w:r w:rsidR="00392DFD">
        <w:t>,</w:t>
      </w:r>
      <w:r w:rsidRPr="00CE0C9D">
        <w:t xml:space="preserve"> alebo návšteva lokality</w:t>
      </w:r>
      <w:r w:rsidR="00392DFD">
        <w:t>,</w:t>
      </w:r>
      <w:r w:rsidRPr="00CE0C9D">
        <w:t xml:space="preserve"> kam plynú investície s cieľom overiť realizácie investície</w:t>
      </w:r>
      <w:r w:rsidR="007928EF" w:rsidRPr="00CE0C9D">
        <w:t>. V</w:t>
      </w:r>
      <w:r w:rsidRPr="00CE0C9D">
        <w:t xml:space="preserve"> podmienkach PPA sa tento článok vykonáva vo forme </w:t>
      </w:r>
      <w:r w:rsidRPr="00CE0C9D">
        <w:lastRenderedPageBreak/>
        <w:t>návštevy na mieste prostredníctvom oddelenia výkonu kontroly</w:t>
      </w:r>
      <w:r w:rsidR="007928EF" w:rsidRPr="00CE0C9D">
        <w:t xml:space="preserve"> na mieste</w:t>
      </w:r>
      <w:r w:rsidRPr="00CE0C9D">
        <w:t xml:space="preserve"> .</w:t>
      </w:r>
      <w:r w:rsidR="007928EF" w:rsidRPr="00CE0C9D">
        <w:t xml:space="preserve"> Cieľom návštevy na mieste je overiť dosiahnutý stav projektu, doklady preukazujúce vlastníctvo predmetu Aktivít Projektu, využívanie pre</w:t>
      </w:r>
      <w:r w:rsidR="008E4699">
        <w:t>d</w:t>
      </w:r>
      <w:r w:rsidR="007928EF" w:rsidRPr="00CE0C9D">
        <w:t xml:space="preserve">metu projektu v súlade s cieľom projektu a vyhotovenie fotodokumentácie súvisiacej s predmetom Aktivít Projektu. </w:t>
      </w:r>
    </w:p>
    <w:p w:rsidR="00A91AD2" w:rsidRPr="00CE0C9D" w:rsidRDefault="00A91AD2" w:rsidP="00A91AD2">
      <w:pPr>
        <w:tabs>
          <w:tab w:val="left" w:pos="567"/>
        </w:tabs>
        <w:spacing w:after="120" w:line="240" w:lineRule="auto"/>
        <w:jc w:val="both"/>
      </w:pPr>
      <w:r w:rsidRPr="00CE0C9D">
        <w:t>Na základe ustanovenia § 20, ods. 3, zákona č. 357/2015 Z.z. o finančnej kontrole  a v zmysle Všeobecných zmluvných podmienok k zmluve o poskytnutí nenávratného finančného príspevku je Sekcia kontroly oprávnená vykonať</w:t>
      </w:r>
      <w:r w:rsidR="007928EF" w:rsidRPr="00CE0C9D">
        <w:t xml:space="preserve"> kontrolu</w:t>
      </w:r>
      <w:r w:rsidRPr="00CE0C9D">
        <w:t xml:space="preserve"> tretej osoby. Podnet na vykonanie finančnej kontroly na mieste tretej osoby môže vyplynúť zo zistení kontrolnej skupiny počas výkonu FKnM, alebo na základe požiadavky odborných útvarov PPA. </w:t>
      </w:r>
    </w:p>
    <w:p w:rsidR="00A91AD2" w:rsidRPr="00CD5B03" w:rsidRDefault="00A91AD2" w:rsidP="00A91AD2">
      <w:pPr>
        <w:tabs>
          <w:tab w:val="left" w:pos="567"/>
        </w:tabs>
        <w:spacing w:after="120" w:line="240" w:lineRule="auto"/>
        <w:jc w:val="both"/>
        <w:rPr>
          <w:highlight w:val="cyan"/>
        </w:rPr>
      </w:pPr>
    </w:p>
    <w:p w:rsidR="00A91AD2" w:rsidRPr="00EE442E" w:rsidRDefault="00A91AD2" w:rsidP="00A91AD2">
      <w:pPr>
        <w:pStyle w:val="Nadpis3"/>
        <w:spacing w:line="240" w:lineRule="auto"/>
        <w:ind w:left="0"/>
        <w:jc w:val="both"/>
        <w:rPr>
          <w:rFonts w:eastAsia="Times New Roman" w:cs="Times New Roman"/>
          <w:b w:val="0"/>
          <w:bCs w:val="0"/>
          <w:sz w:val="24"/>
          <w:szCs w:val="24"/>
        </w:rPr>
      </w:pPr>
      <w:r w:rsidRPr="00EE442E">
        <w:rPr>
          <w:rFonts w:eastAsia="Times New Roman" w:cs="Times New Roman"/>
          <w:b w:val="0"/>
          <w:bCs w:val="0"/>
          <w:sz w:val="24"/>
          <w:szCs w:val="24"/>
        </w:rPr>
        <w:t>Podrobnejší popis výkonu FKnM môžete nájsť v sprievodcovi kontroly tu:</w:t>
      </w:r>
    </w:p>
    <w:p w:rsidR="008755A6" w:rsidRDefault="0069773C" w:rsidP="00D4119B">
      <w:pPr>
        <w:spacing w:line="240" w:lineRule="auto"/>
        <w:jc w:val="both"/>
      </w:pPr>
      <w:hyperlink r:id="rId8" w:history="1">
        <w:r>
          <w:rPr>
            <w:rStyle w:val="Hypertextovprepojenie"/>
          </w:rPr>
          <w:t>https://www.apa.sk/aktuality/sprievodca-financnou-kontrolou-na-mieste-a-navstevou-na-mieste-v-oblasti-projektovych-opatreni-prv-2014-2020/9193</w:t>
        </w:r>
      </w:hyperlink>
    </w:p>
    <w:p w:rsidR="0069773C" w:rsidRDefault="0069773C" w:rsidP="00D4119B">
      <w:pPr>
        <w:spacing w:line="240" w:lineRule="auto"/>
        <w:jc w:val="both"/>
      </w:pPr>
      <w:bookmarkStart w:id="5" w:name="_GoBack"/>
      <w:bookmarkEnd w:id="5"/>
    </w:p>
    <w:p w:rsidR="00EE442E" w:rsidRPr="005442E5" w:rsidRDefault="00EE442E" w:rsidP="00EE442E">
      <w:pPr>
        <w:jc w:val="both"/>
        <w:rPr>
          <w:b/>
          <w:bCs/>
        </w:rPr>
      </w:pPr>
      <w:r w:rsidRPr="005442E5">
        <w:rPr>
          <w:b/>
          <w:bCs/>
        </w:rPr>
        <w:t>Postupy pre vystavenie Správy o zistenej nezrovnalosti</w:t>
      </w:r>
    </w:p>
    <w:p w:rsidR="00EE442E" w:rsidRPr="008A3F13" w:rsidRDefault="00EE442E" w:rsidP="00EE442E">
      <w:pPr>
        <w:spacing w:line="240" w:lineRule="auto"/>
        <w:jc w:val="both"/>
      </w:pPr>
      <w:r w:rsidRPr="005442E5">
        <w:t>PPA na základ</w:t>
      </w:r>
      <w:r w:rsidR="00882E54">
        <w:t>e prijatého interného (napr. FKn</w:t>
      </w:r>
      <w:r w:rsidRPr="005442E5">
        <w:t xml:space="preserve">M), resp. externého (napr. EK, OLAF, OČTK) podnetu, ktorý je základom pre vznik nezrovnalosti vyhodnotí jeho právnu a vecnú relevanciu. V prípade súhlasného záveru v IS AGIS – modul MFR vystaví Správu o zistenej nezrovnalosti. Následne spolu s podpornou dokumentáciou odstúpi materiál útvaru PPA zodpovednému </w:t>
      </w:r>
      <w:r w:rsidR="00485E63">
        <w:br/>
      </w:r>
      <w:r w:rsidRPr="005442E5">
        <w:t>za vymáhanie nezrovnalostí v rámci administratívneho konania.</w:t>
      </w:r>
    </w:p>
    <w:p w:rsidR="00EE442E" w:rsidRDefault="00EE442E" w:rsidP="00EE442E"/>
    <w:p w:rsidR="00F94AB7" w:rsidRDefault="00AB689B" w:rsidP="00D4119B">
      <w:pPr>
        <w:spacing w:line="240" w:lineRule="auto"/>
        <w:jc w:val="both"/>
        <w:rPr>
          <w:iCs/>
        </w:rPr>
      </w:pPr>
      <w:r>
        <w:rPr>
          <w:iCs/>
        </w:rPr>
        <w:t>Usmernenia MPRV SR k pl</w:t>
      </w:r>
      <w:r w:rsidR="00F94AB7">
        <w:rPr>
          <w:iCs/>
        </w:rPr>
        <w:t>atnej právnej úprave nájdete tu:</w:t>
      </w:r>
    </w:p>
    <w:p w:rsidR="00AB689B" w:rsidRPr="00230364" w:rsidRDefault="004C3A5B" w:rsidP="00D4119B">
      <w:pPr>
        <w:spacing w:line="240" w:lineRule="auto"/>
        <w:jc w:val="both"/>
        <w:rPr>
          <w:iCs/>
        </w:rPr>
      </w:pPr>
      <w:hyperlink r:id="rId9" w:history="1">
        <w:r w:rsidR="00A91AD2" w:rsidRPr="00230364">
          <w:rPr>
            <w:rStyle w:val="Hypertextovprepojenie"/>
          </w:rPr>
          <w:t>http://www.apa.sk/usmernenia-ppa</w:t>
        </w:r>
      </w:hyperlink>
      <w:r w:rsidR="00A91AD2" w:rsidRPr="00230364">
        <w:rPr>
          <w:iCs/>
        </w:rPr>
        <w:t>.</w:t>
      </w:r>
    </w:p>
    <w:p w:rsidR="00A91AD2" w:rsidRPr="00230364" w:rsidRDefault="00A91AD2" w:rsidP="00D4119B">
      <w:pPr>
        <w:spacing w:line="240" w:lineRule="auto"/>
        <w:jc w:val="both"/>
        <w:rPr>
          <w:iCs/>
        </w:rPr>
      </w:pPr>
    </w:p>
    <w:p w:rsidR="00A91AD2" w:rsidRPr="00230364" w:rsidRDefault="00A91AD2" w:rsidP="00A91AD2">
      <w:pPr>
        <w:spacing w:line="240" w:lineRule="auto"/>
        <w:jc w:val="both"/>
        <w:rPr>
          <w:iCs/>
        </w:rPr>
      </w:pPr>
      <w:r w:rsidRPr="00230364">
        <w:rPr>
          <w:iCs/>
        </w:rPr>
        <w:t xml:space="preserve">Príručku pre žiadateľov nájdete tu: </w:t>
      </w:r>
    </w:p>
    <w:p w:rsidR="00A91AD2" w:rsidRPr="00230364" w:rsidRDefault="004C3A5B" w:rsidP="00A91AD2">
      <w:pPr>
        <w:spacing w:line="240" w:lineRule="auto"/>
        <w:jc w:val="both"/>
      </w:pPr>
      <w:hyperlink r:id="rId10" w:history="1">
        <w:r w:rsidR="00A91AD2" w:rsidRPr="00230364">
          <w:rPr>
            <w:rStyle w:val="Hypertextovprepojenie"/>
          </w:rPr>
          <w:t>http://www.apa.sk/prv-2014-2020-prirucka-pre-ziadatela</w:t>
        </w:r>
      </w:hyperlink>
      <w:r w:rsidR="00A91AD2" w:rsidRPr="00230364">
        <w:t>.</w:t>
      </w:r>
    </w:p>
    <w:p w:rsidR="00A91AD2" w:rsidRPr="00230364" w:rsidRDefault="00A91AD2" w:rsidP="00A91AD2">
      <w:pPr>
        <w:spacing w:line="240" w:lineRule="auto"/>
        <w:jc w:val="both"/>
      </w:pPr>
    </w:p>
    <w:p w:rsidR="00A91AD2" w:rsidRPr="00230364" w:rsidRDefault="00A91AD2" w:rsidP="00A91AD2">
      <w:pPr>
        <w:spacing w:line="240" w:lineRule="auto"/>
        <w:jc w:val="both"/>
        <w:rPr>
          <w:iCs/>
        </w:rPr>
      </w:pPr>
      <w:r w:rsidRPr="00230364">
        <w:rPr>
          <w:iCs/>
        </w:rPr>
        <w:t xml:space="preserve">Príručku pre prijímateľov nájdete tu: </w:t>
      </w:r>
    </w:p>
    <w:p w:rsidR="00A91AD2" w:rsidRDefault="004C3A5B" w:rsidP="00A91AD2">
      <w:pPr>
        <w:spacing w:line="240" w:lineRule="auto"/>
        <w:jc w:val="both"/>
      </w:pPr>
      <w:hyperlink r:id="rId11" w:history="1">
        <w:r w:rsidR="00A91AD2" w:rsidRPr="00230364">
          <w:rPr>
            <w:rStyle w:val="Hypertextovprepojenie"/>
          </w:rPr>
          <w:t>http://www.apa.sk/prirucka-pre-prijimatela</w:t>
        </w:r>
      </w:hyperlink>
      <w:r w:rsidR="00A91AD2" w:rsidRPr="00230364">
        <w:t>.</w:t>
      </w:r>
    </w:p>
    <w:p w:rsidR="00AB689B" w:rsidRPr="00AB689B" w:rsidRDefault="00AB689B" w:rsidP="00D4119B">
      <w:pPr>
        <w:spacing w:line="240" w:lineRule="auto"/>
        <w:jc w:val="both"/>
        <w:rPr>
          <w:iCs/>
        </w:rPr>
      </w:pPr>
    </w:p>
    <w:p w:rsidR="00057149" w:rsidRDefault="00057149" w:rsidP="00D4119B">
      <w:pPr>
        <w:spacing w:line="240" w:lineRule="auto"/>
        <w:jc w:val="both"/>
      </w:pPr>
    </w:p>
    <w:p w:rsidR="00A17C4F" w:rsidRPr="00A17C4F" w:rsidRDefault="00A17C4F" w:rsidP="006105C1">
      <w:pPr>
        <w:pStyle w:val="Nadpis2"/>
      </w:pPr>
      <w:r w:rsidRPr="00A17C4F">
        <w:t>Pravidlá pre realizáciu platieb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 xml:space="preserve">V organizačnej štruktúre PPA sú stanovené jednoznačné právomoci a zodpovednosti </w:t>
      </w:r>
      <w:r w:rsidR="00EB237C">
        <w:rPr>
          <w:rFonts w:ascii="Times New Roman" w:hAnsi="Times New Roman"/>
          <w:sz w:val="24"/>
          <w:szCs w:val="24"/>
        </w:rPr>
        <w:br/>
      </w:r>
      <w:r w:rsidRPr="006105C1">
        <w:rPr>
          <w:rFonts w:ascii="Times New Roman" w:hAnsi="Times New Roman"/>
          <w:sz w:val="24"/>
          <w:szCs w:val="24"/>
        </w:rPr>
        <w:t xml:space="preserve">na všetkých úrovniach činnosti, ako aj oddelenie troch funkcií (povoľovanie a kontrola platieb, realizácia platieb, účtovníctvo), pri ktorých sa zodpovednosti definujú </w:t>
      </w:r>
      <w:r w:rsidR="00251929">
        <w:rPr>
          <w:rFonts w:ascii="Times New Roman" w:hAnsi="Times New Roman"/>
          <w:sz w:val="24"/>
          <w:szCs w:val="24"/>
        </w:rPr>
        <w:br/>
      </w:r>
      <w:r w:rsidRPr="006105C1">
        <w:rPr>
          <w:rFonts w:ascii="Times New Roman" w:hAnsi="Times New Roman"/>
          <w:sz w:val="24"/>
          <w:szCs w:val="24"/>
        </w:rPr>
        <w:t>v organizačnej štruktúre</w:t>
      </w:r>
      <w:r w:rsidR="00F2144D">
        <w:rPr>
          <w:rFonts w:ascii="Times New Roman" w:hAnsi="Times New Roman"/>
          <w:sz w:val="24"/>
          <w:szCs w:val="24"/>
        </w:rPr>
        <w:t>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>Je zabezpečené také rozdelenie povinností, aby žiadny zamestnanec nebol zodpovedný za viac ako jednu z úloh povoľovania, vyplácania</w:t>
      </w:r>
      <w:r w:rsidR="00ED07E7">
        <w:rPr>
          <w:rFonts w:ascii="Times New Roman" w:hAnsi="Times New Roman"/>
          <w:sz w:val="24"/>
          <w:szCs w:val="24"/>
        </w:rPr>
        <w:t>,</w:t>
      </w:r>
      <w:r w:rsidRPr="006105C1">
        <w:rPr>
          <w:rFonts w:ascii="Times New Roman" w:hAnsi="Times New Roman"/>
          <w:sz w:val="24"/>
          <w:szCs w:val="24"/>
        </w:rPr>
        <w:t xml:space="preserve"> alebo účtovania súm a aby žiadny zamestnanec nevykonával ktorúkoľvek z týchto úloh bez dohľadu ďalšieho zamestnanca</w:t>
      </w:r>
      <w:r w:rsidR="00F2144D">
        <w:rPr>
          <w:rFonts w:ascii="Times New Roman" w:hAnsi="Times New Roman"/>
          <w:sz w:val="24"/>
          <w:szCs w:val="24"/>
        </w:rPr>
        <w:t>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>Stanovenie zodpovedností každého zamestnanca je v písomnom opise pracovného miesta.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105C1">
        <w:rPr>
          <w:rFonts w:ascii="Times New Roman" w:hAnsi="Times New Roman"/>
          <w:bCs/>
          <w:sz w:val="24"/>
          <w:szCs w:val="24"/>
        </w:rPr>
        <w:t>PPA realizuje potrebné postupy na zabezpečenie, aby sa platby realizovali iba na bankové účty patriace príjemcom</w:t>
      </w:r>
      <w:r w:rsidR="00DA61F1">
        <w:rPr>
          <w:rFonts w:ascii="Times New Roman" w:hAnsi="Times New Roman"/>
          <w:bCs/>
          <w:sz w:val="24"/>
          <w:szCs w:val="24"/>
        </w:rPr>
        <w:t>,</w:t>
      </w:r>
      <w:r w:rsidRPr="006105C1">
        <w:rPr>
          <w:rFonts w:ascii="Times New Roman" w:hAnsi="Times New Roman"/>
          <w:bCs/>
          <w:sz w:val="24"/>
          <w:szCs w:val="24"/>
        </w:rPr>
        <w:t xml:space="preserve"> alebo ich splnomocneným zástupcom. Žiadne platby sa neuskutočňujú v hotovosti. Platby na účty prijímateľom sa realizujú prostredníctvom IS Štátnej pokladnice. Schvaľovanie zo strany povoľujúceho zamestnanca a/alebo jeho nadriadeného sa vykonávajú elektronickými prostriedkami (je zabezpečená </w:t>
      </w:r>
      <w:r w:rsidRPr="006105C1">
        <w:rPr>
          <w:rFonts w:ascii="Times New Roman" w:hAnsi="Times New Roman"/>
          <w:bCs/>
          <w:sz w:val="24"/>
          <w:szCs w:val="24"/>
        </w:rPr>
        <w:lastRenderedPageBreak/>
        <w:t>zodpovedajúca úroveň bezpečnosti týchto prostriedkov a totožnosť signatára je zapísaná v elektronických záznamoch)</w:t>
      </w:r>
      <w:r w:rsidR="00F2144D">
        <w:rPr>
          <w:rFonts w:ascii="Times New Roman" w:hAnsi="Times New Roman"/>
          <w:bCs/>
          <w:sz w:val="24"/>
          <w:szCs w:val="24"/>
        </w:rPr>
        <w:t>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 xml:space="preserve">Všetky činnosti súvisiace s výkonom platobnej funkcie sú vykonávané na základe princípu štyroch očí, čím sú vytvorené také podmienky, aby o výdavku (realizácii platby) nemohol rozhodnúť jeden zamestnanec bez toho, aby jeho činnosť nebola skontrolovaná druhou oprávnenou osobou. Každá pracovná činnosť vykonaná zamestnancom je následne skontrolovaná druhým oprávneným zamestnancom. </w:t>
      </w: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  <w:r w:rsidRPr="00A17C4F">
        <w:rPr>
          <w:b/>
          <w:bCs/>
        </w:rPr>
        <w:t>Pravidlá pre pozastavenie vyplácania platieb z dôvodu nezrovnalosti</w:t>
      </w:r>
    </w:p>
    <w:p w:rsidR="00A17C4F" w:rsidRPr="00A17C4F" w:rsidRDefault="00A17C4F" w:rsidP="00A17C4F">
      <w:pPr>
        <w:spacing w:line="240" w:lineRule="auto"/>
        <w:jc w:val="both"/>
      </w:pPr>
      <w:r w:rsidRPr="00A17C4F">
        <w:t xml:space="preserve">V záujme ochrany finančných záujmov EÚ a SR, PPA schválením vystavenej správy o zistenej nezrovnalosti pozastaví vyplácanie príspevku alebo podpory v rámci EPZF a EPFRV (finančných prostriedkov EÚ a spolufinancovania zo štátneho rozpočtu) prijímateľovi až </w:t>
      </w:r>
      <w:r w:rsidR="008614B7">
        <w:br/>
      </w:r>
      <w:r w:rsidRPr="00A17C4F">
        <w:t>do momentu vysporiadania celej sumy nezrovnalosti a prislúchajúcich penále/úrokov z omeškania, prípadne do nepotvrdenia nezrovnalosti. Ak je u prijímateľa evidovaná viac ako jedna nezrovnalosť, odblokovanie prijímateľa sa vykoná automaticky až po úplnom vysporiadaní/vyriešení všetkých nezrovnalostí. V záujme zabezpečenia ochrany finančných záujmov EÚ je automaticky blokované vyplatenie finančných prostriedkov u tých prijímateľom, ktorí nemajú vysporiadané finančné vzťahy.</w:t>
      </w:r>
    </w:p>
    <w:p w:rsidR="00A17C4F" w:rsidRPr="00A17C4F" w:rsidRDefault="00A17C4F" w:rsidP="00A17C4F">
      <w:pPr>
        <w:spacing w:line="240" w:lineRule="auto"/>
        <w:jc w:val="both"/>
      </w:pP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  <w:r w:rsidRPr="00A17C4F">
        <w:rPr>
          <w:b/>
          <w:bCs/>
        </w:rPr>
        <w:t>Postupy pre vymáhanie nezrovnalosti</w:t>
      </w:r>
    </w:p>
    <w:p w:rsidR="00A17C4F" w:rsidRPr="00A17C4F" w:rsidRDefault="00A17C4F" w:rsidP="006105C1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PPA na základe Správy o zistenej nezrovnalosti zabezpečí v rámci administratívneho konania vystavenie Žiadosti o vysporiadanie finančných vzťahov a tieto dokumenty zašle dlžníkovi</w:t>
      </w:r>
      <w:r w:rsidR="00A93E82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V prípade úhrady v lehote splatnosti uvedenej v Žiadosti o vysporiadanie finančných vzťahov sa zabezpečí odblokovanie dlžníka v informačnom systéme</w:t>
      </w:r>
      <w:r w:rsidR="00A93E82">
        <w:rPr>
          <w:rFonts w:ascii="Times New Roman" w:hAnsi="Times New Roman"/>
          <w:sz w:val="24"/>
          <w:szCs w:val="24"/>
        </w:rPr>
        <w:t>.</w:t>
      </w:r>
    </w:p>
    <w:p w:rsidR="00A17C4F" w:rsidRPr="003A5310" w:rsidRDefault="00A17C4F" w:rsidP="003A5310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Ak nezrovnalosť nie je uhradená v lehote splatnosti, dochádza k vymáhaniu nezrovnalosti v správnom konaní</w:t>
      </w:r>
      <w:r w:rsidR="003A5310">
        <w:rPr>
          <w:rFonts w:ascii="Times New Roman" w:hAnsi="Times New Roman"/>
          <w:sz w:val="24"/>
          <w:szCs w:val="24"/>
        </w:rPr>
        <w:t xml:space="preserve">, </w:t>
      </w:r>
      <w:r w:rsidRPr="003A5310">
        <w:rPr>
          <w:rFonts w:ascii="Times New Roman" w:hAnsi="Times New Roman"/>
          <w:sz w:val="24"/>
          <w:szCs w:val="24"/>
        </w:rPr>
        <w:t>v rámci ktorého PPA vystaví Oznámenie o začatí správneho konania. V prípade, ak dlžník v stanovenej lehote nereaguje na Oznámenie, PPA vydá Rozhodnutie o uložení dlhu</w:t>
      </w:r>
      <w:r w:rsidR="00A93E82" w:rsidRPr="003A5310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 xml:space="preserve">Ak ani vtedy dlžník neuhradí nezrovnalosť, pristúpi sa k vymáhaniu nezrovnalosti </w:t>
      </w:r>
      <w:r w:rsidR="008978E1">
        <w:rPr>
          <w:rFonts w:ascii="Times New Roman" w:hAnsi="Times New Roman"/>
          <w:sz w:val="24"/>
          <w:szCs w:val="24"/>
        </w:rPr>
        <w:br/>
      </w:r>
      <w:r w:rsidRPr="00A17C4F">
        <w:rPr>
          <w:rFonts w:ascii="Times New Roman" w:hAnsi="Times New Roman"/>
          <w:sz w:val="24"/>
          <w:szCs w:val="24"/>
        </w:rPr>
        <w:t xml:space="preserve">v exekučnom konaní. </w:t>
      </w: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  <w:r w:rsidRPr="00A17C4F">
        <w:rPr>
          <w:b/>
          <w:bCs/>
        </w:rPr>
        <w:t>Pravidlá pre pozastavenie vyplácania platieb z dôvodu sankcií budúcich období</w:t>
      </w:r>
    </w:p>
    <w:p w:rsidR="00A17C4F" w:rsidRPr="00A17C4F" w:rsidRDefault="00A17C4F" w:rsidP="006105C1">
      <w:pPr>
        <w:pStyle w:val="Odsekzoznamu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Započítanie sankcií budúcich období (ďalej len „SBO“) sa vykonáva v zmysle nariadenia Komisie (NK č. 908/2014, resp. č. 885/2006), v zmysle ktorého bola sankcia udelená</w:t>
      </w:r>
      <w:r w:rsidR="005F463D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Započítava sa voči podporám poskytovaným z EPFRV alebo EPZF</w:t>
      </w:r>
      <w:r w:rsidR="005F463D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 xml:space="preserve">SBO, resp. nezapočítaný zostatok SBO zanikne po uplynutí troch kalendárnych rokov nasledujúcich po roku zistenia sankcie. V prípade, že má prijímateľ udelených viac SBO započítajú sa postupne. Postup vykonávania zápočtov SBO sa riadi kontrolou „4 očí“. </w:t>
      </w:r>
    </w:p>
    <w:p w:rsidR="00F94AB7" w:rsidRPr="00A17C4F" w:rsidRDefault="00F94AB7" w:rsidP="00A17C4F">
      <w:pPr>
        <w:spacing w:after="120" w:line="240" w:lineRule="auto"/>
        <w:jc w:val="both"/>
        <w:rPr>
          <w:b/>
        </w:rPr>
      </w:pPr>
    </w:p>
    <w:p w:rsidR="00326BBF" w:rsidRPr="008755A6" w:rsidRDefault="008755A6" w:rsidP="00CD48F0">
      <w:pPr>
        <w:pStyle w:val="Nadpis2"/>
      </w:pPr>
      <w:r w:rsidRPr="008755A6">
        <w:t>Vnútorná kontrola</w:t>
      </w:r>
    </w:p>
    <w:p w:rsidR="008755A6" w:rsidRDefault="008755A6" w:rsidP="006105C1">
      <w:pPr>
        <w:spacing w:line="240" w:lineRule="auto"/>
        <w:jc w:val="both"/>
      </w:pPr>
      <w:r>
        <w:t xml:space="preserve">V záujme ochrany finančných záujmov EÚ vstupuje do procesu poskytovania priamych platieb interná vnútorná kontrola PPA prostredníctvom riešenia podnetov, sťažností, dožiadaní a indícií možného porušenia pravidiel poskytovania podpôr a zneužívania finančných záujmov EÚ. Taktiež poskytuje súčinnosť orgánom činným v trestnom konaní  a kontrolným orgánom </w:t>
      </w:r>
      <w:r w:rsidR="00D95B62">
        <w:br/>
      </w:r>
      <w:r>
        <w:t>pri preverovaní možných nezrovnalostí nielen za aktuálnu kampaň, ale aj za predchádzajúce obdobia.</w:t>
      </w:r>
    </w:p>
    <w:p w:rsidR="00A17C4F" w:rsidRDefault="00A17C4F" w:rsidP="00F94AB7">
      <w:pPr>
        <w:spacing w:line="240" w:lineRule="auto"/>
        <w:jc w:val="both"/>
        <w:rPr>
          <w:sz w:val="22"/>
          <w:szCs w:val="22"/>
          <w:lang w:eastAsia="en-US"/>
        </w:rPr>
      </w:pPr>
    </w:p>
    <w:p w:rsidR="008755A6" w:rsidRDefault="008755A6" w:rsidP="00CD48F0">
      <w:pPr>
        <w:pStyle w:val="Nadpis2"/>
        <w:rPr>
          <w:lang w:eastAsia="en-US"/>
        </w:rPr>
      </w:pPr>
      <w:r>
        <w:lastRenderedPageBreak/>
        <w:t>Vnútorný audit a externé audity</w:t>
      </w:r>
      <w:r w:rsidR="00174049">
        <w:t xml:space="preserve"> a kontroly</w:t>
      </w:r>
    </w:p>
    <w:p w:rsidR="00174049" w:rsidRDefault="00174049" w:rsidP="006105C1">
      <w:pPr>
        <w:autoSpaceDE w:val="0"/>
        <w:autoSpaceDN w:val="0"/>
        <w:spacing w:line="240" w:lineRule="auto"/>
        <w:jc w:val="both"/>
      </w:pPr>
      <w:r>
        <w:rPr>
          <w:rFonts w:ascii="AGaramondPro-Regular" w:hAnsi="AGaramondPro-Regular"/>
          <w:color w:val="050505"/>
        </w:rPr>
        <w:t xml:space="preserve">Prostredníctvom vnútorného auditu </w:t>
      </w:r>
      <w:r w:rsidR="008755A6">
        <w:rPr>
          <w:rFonts w:ascii="AGaramondPro-Regular" w:hAnsi="AGaramondPro-Regular"/>
          <w:color w:val="050505"/>
        </w:rPr>
        <w:t xml:space="preserve">PPA </w:t>
      </w:r>
      <w:r>
        <w:rPr>
          <w:rFonts w:ascii="AGaramondPro-Regular" w:hAnsi="AGaramondPro-Regular"/>
          <w:color w:val="050505"/>
        </w:rPr>
        <w:t xml:space="preserve">overuje, </w:t>
      </w:r>
      <w:r>
        <w:t xml:space="preserve"> či sú postupy zavedené organizáciou </w:t>
      </w:r>
      <w:r w:rsidR="00404EA9">
        <w:br/>
      </w:r>
      <w:r>
        <w:rPr>
          <w:rFonts w:ascii="AGaramondPro-Regular" w:hAnsi="AGaramondPro-Regular"/>
          <w:color w:val="050505"/>
        </w:rPr>
        <w:t xml:space="preserve">pri administrovaní, schvaľovaní a vyplácaní  podpôr  </w:t>
      </w:r>
      <w:r>
        <w:t>v súlade s pravidlami EÚ.</w:t>
      </w:r>
      <w:r w:rsidR="00CD48F0">
        <w:t xml:space="preserve"> </w:t>
      </w:r>
      <w:r w:rsidR="008755A6">
        <w:t xml:space="preserve">Okrem vnútorných auditov,  ktoré sú vykonávané v súlade so schváleným plánom auditov a v zmysle </w:t>
      </w:r>
      <w:r>
        <w:t xml:space="preserve">medzinárodných </w:t>
      </w:r>
      <w:r w:rsidR="00421799">
        <w:t>štandardov,</w:t>
      </w:r>
      <w:r w:rsidR="008755A6">
        <w:t xml:space="preserve"> prebieha  každoročne v PPA niekoľko  externých auditov a kontrol či už zo strany Európskej Komisie, E</w:t>
      </w:r>
      <w:r>
        <w:t>urópskeho dvora audítorov</w:t>
      </w:r>
      <w:r w:rsidR="008755A6">
        <w:t>, N</w:t>
      </w:r>
      <w:r>
        <w:t>ajvyššieho kontrolného úradu</w:t>
      </w:r>
      <w:r w:rsidR="008755A6">
        <w:t xml:space="preserve"> SR</w:t>
      </w:r>
      <w:r>
        <w:t>, Úradu vlády SR a pod.</w:t>
      </w:r>
    </w:p>
    <w:p w:rsidR="008755A6" w:rsidRDefault="008755A6" w:rsidP="00F94AB7">
      <w:pPr>
        <w:autoSpaceDE w:val="0"/>
        <w:autoSpaceDN w:val="0"/>
        <w:spacing w:line="240" w:lineRule="auto"/>
        <w:jc w:val="both"/>
      </w:pPr>
      <w:r>
        <w:t>Certifikačný orgán každoročne vykonáva certifikačný audit všetkých podpôr ad</w:t>
      </w:r>
      <w:r w:rsidR="00421799">
        <w:t>ministrovaných PPA a overuje, </w:t>
      </w:r>
      <w:r>
        <w:t>či sú účty PPA presné, úplné a vypracované včas a či  účtovná závierka PPA poskytuje pravdivý a verný obraz vo všetkých významných súvislostiach  v zmysle  legislatívy EÚ a v zmysle Usmernení Európskej Komisie.</w:t>
      </w:r>
    </w:p>
    <w:p w:rsidR="00B820CE" w:rsidRDefault="00B820CE" w:rsidP="00F94AB7">
      <w:pPr>
        <w:autoSpaceDE w:val="0"/>
        <w:autoSpaceDN w:val="0"/>
        <w:spacing w:line="240" w:lineRule="auto"/>
        <w:jc w:val="both"/>
      </w:pPr>
    </w:p>
    <w:p w:rsidR="00B820CE" w:rsidRDefault="00B820CE" w:rsidP="00F94AB7">
      <w:pPr>
        <w:autoSpaceDE w:val="0"/>
        <w:autoSpaceDN w:val="0"/>
        <w:spacing w:line="240" w:lineRule="auto"/>
        <w:jc w:val="both"/>
      </w:pPr>
    </w:p>
    <w:p w:rsidR="00B820CE" w:rsidRDefault="00B820CE" w:rsidP="00F94AB7">
      <w:pPr>
        <w:autoSpaceDE w:val="0"/>
        <w:autoSpaceDN w:val="0"/>
        <w:spacing w:line="240" w:lineRule="auto"/>
        <w:jc w:val="both"/>
      </w:pPr>
    </w:p>
    <w:p w:rsidR="00B820CE" w:rsidRPr="00B820CE" w:rsidRDefault="00B820CE" w:rsidP="00B820CE">
      <w:pPr>
        <w:autoSpaceDE w:val="0"/>
        <w:autoSpaceDN w:val="0"/>
        <w:spacing w:line="276" w:lineRule="auto"/>
        <w:jc w:val="both"/>
        <w:rPr>
          <w:rFonts w:ascii="AGaramondPro-Regular" w:hAnsi="AGaramondPro-Regular"/>
          <w:b/>
          <w:bCs/>
          <w:i/>
          <w:color w:val="2E74B5" w:themeColor="accent1" w:themeShade="BF"/>
          <w:lang w:eastAsia="en-US"/>
        </w:rPr>
      </w:pPr>
      <w:r w:rsidRPr="00B820CE">
        <w:rPr>
          <w:i/>
          <w:color w:val="2E74B5" w:themeColor="accent1" w:themeShade="BF"/>
          <w:lang w:eastAsia="en-US"/>
        </w:rPr>
        <w:t xml:space="preserve">Pôdohospodárska platobná agentúra v záujme zabezpečiť informovanosť žiadateľov o projektové podpory, vo veci problematiky boja proti podvodom v súvislosti s potrebou ochrany finančných záujmov Európskej únie, </w:t>
      </w:r>
      <w:r w:rsidRPr="00B820CE">
        <w:rPr>
          <w:b/>
          <w:bCs/>
          <w:i/>
          <w:color w:val="2E74B5" w:themeColor="accent1" w:themeShade="BF"/>
          <w:lang w:eastAsia="en-US"/>
        </w:rPr>
        <w:t>vydáva výstrahu</w:t>
      </w:r>
      <w:r w:rsidRPr="00B820CE">
        <w:rPr>
          <w:i/>
          <w:color w:val="2E74B5" w:themeColor="accent1" w:themeShade="BF"/>
          <w:lang w:eastAsia="en-US"/>
        </w:rPr>
        <w:t xml:space="preserve"> pre žiadateľov o projektové podpory, aby v žiadostiach o poskytnutie nenávratného finančného príspevku a žiadostiach o platbu predkladali len pravé a hodnoverné doklady, uvádzali údaje týkajúce sa nákladov, ktoré nie sú oproti reálnej možnosti ich nákupu navýšené, používali finančné prostriedky v súlade s podmienkami poskytnutia projektovej podpory a pod.. Ďalej Pôdohospodárska platobná agentúra okrem prijímania nápravných opatrení vo forme finančných opráv a vysporiadania finančných vzťahov ohľadne zistených nezrovnalostí spolupracuje s orgánmi činnými v trestnom konaní pri odhaľovaní prípadov trestnej činnosti, ktoré súvisia s nezákonným nakladaním finančných prostriedkov EÚ. Možná trestná činnosť sa týka najmä skutkovej podstaty poškodzovania finančných záujmov Európskej únie podľa § 261 Trestného zákona a skutkovej podstaty subvenčného podvodu podľa § 225 Trestného zákona.“</w:t>
      </w:r>
    </w:p>
    <w:p w:rsidR="008755A6" w:rsidRPr="00057149" w:rsidRDefault="008755A6" w:rsidP="00057149">
      <w:pPr>
        <w:spacing w:after="120" w:line="240" w:lineRule="auto"/>
        <w:jc w:val="both"/>
      </w:pPr>
    </w:p>
    <w:sectPr w:rsidR="008755A6" w:rsidRPr="000571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5B" w:rsidRDefault="004C3A5B" w:rsidP="00057149">
      <w:pPr>
        <w:spacing w:line="240" w:lineRule="auto"/>
      </w:pPr>
      <w:r>
        <w:separator/>
      </w:r>
    </w:p>
  </w:endnote>
  <w:endnote w:type="continuationSeparator" w:id="0">
    <w:p w:rsidR="004C3A5B" w:rsidRDefault="004C3A5B" w:rsidP="0005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012783"/>
      <w:docPartObj>
        <w:docPartGallery w:val="Page Numbers (Bottom of Page)"/>
        <w:docPartUnique/>
      </w:docPartObj>
    </w:sdtPr>
    <w:sdtEndPr/>
    <w:sdtContent>
      <w:p w:rsidR="00057149" w:rsidRDefault="000571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3C">
          <w:rPr>
            <w:noProof/>
          </w:rPr>
          <w:t>1</w:t>
        </w:r>
        <w:r>
          <w:fldChar w:fldCharType="end"/>
        </w:r>
      </w:p>
    </w:sdtContent>
  </w:sdt>
  <w:p w:rsidR="00057149" w:rsidRDefault="000571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5B" w:rsidRDefault="004C3A5B" w:rsidP="00057149">
      <w:pPr>
        <w:spacing w:line="240" w:lineRule="auto"/>
      </w:pPr>
      <w:r>
        <w:separator/>
      </w:r>
    </w:p>
  </w:footnote>
  <w:footnote w:type="continuationSeparator" w:id="0">
    <w:p w:rsidR="004C3A5B" w:rsidRDefault="004C3A5B" w:rsidP="00057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D26"/>
    <w:multiLevelType w:val="hybridMultilevel"/>
    <w:tmpl w:val="3DB82A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40993"/>
    <w:multiLevelType w:val="hybridMultilevel"/>
    <w:tmpl w:val="D5F8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756"/>
    <w:multiLevelType w:val="multilevel"/>
    <w:tmpl w:val="F95858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7635D"/>
    <w:multiLevelType w:val="hybridMultilevel"/>
    <w:tmpl w:val="5110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FB6"/>
    <w:multiLevelType w:val="hybridMultilevel"/>
    <w:tmpl w:val="224E8A56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3CB7"/>
    <w:multiLevelType w:val="hybridMultilevel"/>
    <w:tmpl w:val="EB4A2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A93"/>
    <w:multiLevelType w:val="hybridMultilevel"/>
    <w:tmpl w:val="C8F03EE2"/>
    <w:lvl w:ilvl="0" w:tplc="2C3C7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334C"/>
    <w:multiLevelType w:val="hybridMultilevel"/>
    <w:tmpl w:val="3B883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B705B2"/>
    <w:multiLevelType w:val="hybridMultilevel"/>
    <w:tmpl w:val="CB341B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73E0"/>
    <w:multiLevelType w:val="hybridMultilevel"/>
    <w:tmpl w:val="53A424AA"/>
    <w:lvl w:ilvl="0" w:tplc="F26E143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43CB7"/>
    <w:multiLevelType w:val="hybridMultilevel"/>
    <w:tmpl w:val="F418EAC8"/>
    <w:lvl w:ilvl="0" w:tplc="0D62AE44">
      <w:start w:val="2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7D56"/>
    <w:multiLevelType w:val="hybridMultilevel"/>
    <w:tmpl w:val="3956F4EC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9346D"/>
    <w:multiLevelType w:val="hybridMultilevel"/>
    <w:tmpl w:val="100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1A0C"/>
    <w:multiLevelType w:val="hybridMultilevel"/>
    <w:tmpl w:val="DCD67E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E6E31"/>
    <w:multiLevelType w:val="hybridMultilevel"/>
    <w:tmpl w:val="D9DC528E"/>
    <w:lvl w:ilvl="0" w:tplc="2C3C7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139A3"/>
    <w:multiLevelType w:val="hybridMultilevel"/>
    <w:tmpl w:val="ADF2C960"/>
    <w:lvl w:ilvl="0" w:tplc="7820D93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2AF9"/>
    <w:multiLevelType w:val="hybridMultilevel"/>
    <w:tmpl w:val="2632D440"/>
    <w:lvl w:ilvl="0" w:tplc="041B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54B82"/>
    <w:multiLevelType w:val="hybridMultilevel"/>
    <w:tmpl w:val="0D06057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9176C"/>
    <w:multiLevelType w:val="hybridMultilevel"/>
    <w:tmpl w:val="200CD838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1E73"/>
    <w:multiLevelType w:val="hybridMultilevel"/>
    <w:tmpl w:val="58504A9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ED1491"/>
    <w:multiLevelType w:val="hybridMultilevel"/>
    <w:tmpl w:val="790C2FA8"/>
    <w:lvl w:ilvl="0" w:tplc="6F964DE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B000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E485D44"/>
    <w:multiLevelType w:val="hybridMultilevel"/>
    <w:tmpl w:val="71C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6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  <w:num w:numId="18">
    <w:abstractNumId w:val="0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02"/>
    <w:rsid w:val="00001ACB"/>
    <w:rsid w:val="00057149"/>
    <w:rsid w:val="00070A61"/>
    <w:rsid w:val="00094A35"/>
    <w:rsid w:val="000A29BC"/>
    <w:rsid w:val="00112D0A"/>
    <w:rsid w:val="00117775"/>
    <w:rsid w:val="00174049"/>
    <w:rsid w:val="00187049"/>
    <w:rsid w:val="00230364"/>
    <w:rsid w:val="00251929"/>
    <w:rsid w:val="00266E0C"/>
    <w:rsid w:val="0026740A"/>
    <w:rsid w:val="00297AD8"/>
    <w:rsid w:val="002B4A9B"/>
    <w:rsid w:val="002C6773"/>
    <w:rsid w:val="00326BBF"/>
    <w:rsid w:val="0034011F"/>
    <w:rsid w:val="0038250C"/>
    <w:rsid w:val="00392DFD"/>
    <w:rsid w:val="003A5310"/>
    <w:rsid w:val="00400B33"/>
    <w:rsid w:val="00404EA9"/>
    <w:rsid w:val="00405B1A"/>
    <w:rsid w:val="00406E0C"/>
    <w:rsid w:val="004135BD"/>
    <w:rsid w:val="00415A84"/>
    <w:rsid w:val="00416828"/>
    <w:rsid w:val="00421799"/>
    <w:rsid w:val="00485E63"/>
    <w:rsid w:val="00492C0F"/>
    <w:rsid w:val="004C3A5B"/>
    <w:rsid w:val="004E0143"/>
    <w:rsid w:val="00501611"/>
    <w:rsid w:val="005F463D"/>
    <w:rsid w:val="006105C1"/>
    <w:rsid w:val="00674996"/>
    <w:rsid w:val="006871CF"/>
    <w:rsid w:val="0069773C"/>
    <w:rsid w:val="006B36F9"/>
    <w:rsid w:val="006E0326"/>
    <w:rsid w:val="006E3A6C"/>
    <w:rsid w:val="007928EF"/>
    <w:rsid w:val="007D2AEA"/>
    <w:rsid w:val="007D5460"/>
    <w:rsid w:val="00831AF6"/>
    <w:rsid w:val="008614B7"/>
    <w:rsid w:val="008755A6"/>
    <w:rsid w:val="00882E54"/>
    <w:rsid w:val="00892E92"/>
    <w:rsid w:val="008978E1"/>
    <w:rsid w:val="008A74FB"/>
    <w:rsid w:val="008D285D"/>
    <w:rsid w:val="008E4699"/>
    <w:rsid w:val="008F4B79"/>
    <w:rsid w:val="009078CB"/>
    <w:rsid w:val="00917A85"/>
    <w:rsid w:val="00990CE7"/>
    <w:rsid w:val="009B3D06"/>
    <w:rsid w:val="00A17C4F"/>
    <w:rsid w:val="00A65061"/>
    <w:rsid w:val="00A83D31"/>
    <w:rsid w:val="00A861B2"/>
    <w:rsid w:val="00A86286"/>
    <w:rsid w:val="00A878FD"/>
    <w:rsid w:val="00A91AD2"/>
    <w:rsid w:val="00A93E82"/>
    <w:rsid w:val="00AB689B"/>
    <w:rsid w:val="00AC20C3"/>
    <w:rsid w:val="00AF0C43"/>
    <w:rsid w:val="00B01740"/>
    <w:rsid w:val="00B04564"/>
    <w:rsid w:val="00B11D2A"/>
    <w:rsid w:val="00B12402"/>
    <w:rsid w:val="00B16B2E"/>
    <w:rsid w:val="00B53385"/>
    <w:rsid w:val="00B820CE"/>
    <w:rsid w:val="00C0782B"/>
    <w:rsid w:val="00C36AA3"/>
    <w:rsid w:val="00C846E0"/>
    <w:rsid w:val="00CD48F0"/>
    <w:rsid w:val="00CE0C9D"/>
    <w:rsid w:val="00D4119B"/>
    <w:rsid w:val="00D86FB5"/>
    <w:rsid w:val="00D95B62"/>
    <w:rsid w:val="00DA61F1"/>
    <w:rsid w:val="00E26F73"/>
    <w:rsid w:val="00E27FE2"/>
    <w:rsid w:val="00E3220B"/>
    <w:rsid w:val="00E40148"/>
    <w:rsid w:val="00EB237C"/>
    <w:rsid w:val="00ED0620"/>
    <w:rsid w:val="00ED07E7"/>
    <w:rsid w:val="00ED4D7B"/>
    <w:rsid w:val="00EE442E"/>
    <w:rsid w:val="00F2144D"/>
    <w:rsid w:val="00F57E4A"/>
    <w:rsid w:val="00F71DDC"/>
    <w:rsid w:val="00F91572"/>
    <w:rsid w:val="00F94AB7"/>
    <w:rsid w:val="00FC558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459"/>
  <w15:chartTrackingRefBased/>
  <w15:docId w15:val="{6F48D339-9403-4F0F-B6E4-65BBD33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1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2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2E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A861B2"/>
    <w:pPr>
      <w:keepNext/>
      <w:ind w:left="567"/>
      <w:outlineLvl w:val="2"/>
    </w:pPr>
    <w:rPr>
      <w:rFonts w:eastAsia="Arial Unicode MS" w:cs="Arial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61B2"/>
    <w:rPr>
      <w:rFonts w:ascii="Times New Roman" w:eastAsia="Arial Unicode MS" w:hAnsi="Times New Roman" w:cs="Arial"/>
      <w:b/>
      <w:bCs/>
      <w:sz w:val="28"/>
      <w:szCs w:val="2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86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A861B2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92E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Siln">
    <w:name w:val="Strong"/>
    <w:uiPriority w:val="99"/>
    <w:qFormat/>
    <w:rsid w:val="00892E92"/>
    <w:rPr>
      <w:b/>
      <w:bCs/>
    </w:rPr>
  </w:style>
  <w:style w:type="character" w:customStyle="1" w:styleId="h1a1">
    <w:name w:val="h1a1"/>
    <w:rsid w:val="00892E92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5B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5714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1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714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1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D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12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aktuality/sprievodca-financnou-kontrolou-na-mieste-a-navstevou-na-mieste-v-oblasti-projektovych-opatreni-prv-2014-2020/91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pre-projektove-podpor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prirucka-pre-prijimate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prv-2014-2020-prirucka-pre-ziadat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usmernenia-p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Ošust Michal</dc:creator>
  <cp:keywords/>
  <dc:description/>
  <cp:lastModifiedBy>Baran Peter</cp:lastModifiedBy>
  <cp:revision>46</cp:revision>
  <cp:lastPrinted>2018-03-08T12:57:00Z</cp:lastPrinted>
  <dcterms:created xsi:type="dcterms:W3CDTF">2018-03-08T12:59:00Z</dcterms:created>
  <dcterms:modified xsi:type="dcterms:W3CDTF">2019-08-07T11:08:00Z</dcterms:modified>
</cp:coreProperties>
</file>