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84D2" w14:textId="179D8F28" w:rsidR="001D314A" w:rsidRPr="001D314A" w:rsidRDefault="001D314A" w:rsidP="001D314A">
      <w:pPr>
        <w:jc w:val="center"/>
        <w:rPr>
          <w:rFonts w:ascii="Arial" w:hAnsi="Arial" w:cs="Arial"/>
          <w:b/>
          <w:sz w:val="20"/>
          <w:lang w:val="sk-SK"/>
        </w:rPr>
      </w:pPr>
      <w:r w:rsidRPr="001D314A">
        <w:rPr>
          <w:rFonts w:ascii="Arial" w:hAnsi="Arial" w:cs="Arial"/>
          <w:b/>
          <w:sz w:val="20"/>
          <w:lang w:val="sk-SK"/>
        </w:rPr>
        <w:t>Vyhlásenie žiadateľa o dotáciu podľa Schémy minimálnej pomoci na poskytovanie podpory v lesnom hospodárstve na plnenie mimoprodukčných funkcií lesov.</w:t>
      </w:r>
    </w:p>
    <w:p w14:paraId="34312F69" w14:textId="5B25C918" w:rsidR="00D57E01" w:rsidRPr="00524A8B" w:rsidRDefault="00D57E01" w:rsidP="001D314A">
      <w:pPr>
        <w:jc w:val="center"/>
        <w:rPr>
          <w:rFonts w:ascii="Arial" w:hAnsi="Arial" w:cs="Arial"/>
          <w:b/>
          <w:sz w:val="20"/>
          <w:lang w:val="sk-SK"/>
        </w:rPr>
      </w:pP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bookmarkStart w:id="0" w:name="_GoBack"/>
      <w:bookmarkEnd w:id="0"/>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3C2E5AA" w14:textId="77777777" w:rsidR="00E6773C" w:rsidRDefault="00E6773C" w:rsidP="00D57E01">
      <w:pPr>
        <w:rPr>
          <w:rFonts w:ascii="Arial" w:hAnsi="Arial" w:cs="Arial"/>
          <w:bCs/>
          <w:sz w:val="20"/>
          <w:lang w:val="sk-SK"/>
        </w:rPr>
      </w:pPr>
    </w:p>
    <w:p w14:paraId="429C2E6C" w14:textId="77777777" w:rsidR="001D314A" w:rsidRDefault="001D314A" w:rsidP="00D57E01">
      <w:pPr>
        <w:rPr>
          <w:rFonts w:ascii="Arial" w:hAnsi="Arial" w:cs="Arial"/>
          <w:bCs/>
          <w:sz w:val="20"/>
          <w:lang w:val="sk-SK"/>
        </w:rPr>
      </w:pPr>
    </w:p>
    <w:p w14:paraId="7CADAED0" w14:textId="77777777" w:rsidR="001D314A" w:rsidRDefault="001D314A" w:rsidP="00D57E01">
      <w:pPr>
        <w:rPr>
          <w:rFonts w:ascii="Arial" w:hAnsi="Arial" w:cs="Arial"/>
          <w:bCs/>
          <w:sz w:val="20"/>
          <w:lang w:val="sk-SK"/>
        </w:rPr>
      </w:pPr>
    </w:p>
    <w:p w14:paraId="2E1849A4" w14:textId="77777777" w:rsidR="001D314A" w:rsidRDefault="001D314A" w:rsidP="00D57E01">
      <w:pPr>
        <w:rPr>
          <w:rFonts w:ascii="Arial" w:hAnsi="Arial" w:cs="Arial"/>
          <w:bCs/>
          <w:sz w:val="20"/>
          <w:lang w:val="sk-SK"/>
        </w:rPr>
      </w:pPr>
    </w:p>
    <w:p w14:paraId="74CDD797" w14:textId="77777777" w:rsidR="001D314A" w:rsidRDefault="001D314A" w:rsidP="00D57E01">
      <w:pPr>
        <w:rPr>
          <w:rFonts w:ascii="Arial" w:hAnsi="Arial" w:cs="Arial"/>
          <w:bCs/>
          <w:sz w:val="20"/>
          <w:lang w:val="sk-SK"/>
        </w:rPr>
      </w:pPr>
    </w:p>
    <w:p w14:paraId="17D4B2D8" w14:textId="77777777" w:rsidR="001D314A" w:rsidRPr="007B322B" w:rsidRDefault="001D314A"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675ACF">
        <w:rPr>
          <w:rFonts w:ascii="Arial" w:hAnsi="Arial" w:cs="Arial"/>
          <w:bCs/>
          <w:sz w:val="20"/>
          <w:lang w:val="sk-SK"/>
        </w:rPr>
      </w:r>
      <w:r w:rsidR="00675AC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75ACF">
        <w:rPr>
          <w:rFonts w:ascii="Arial" w:hAnsi="Arial" w:cs="Arial"/>
          <w:b/>
          <w:bCs/>
          <w:sz w:val="20"/>
          <w:lang w:val="sk-SK"/>
        </w:rPr>
      </w:r>
      <w:r w:rsidR="00675AC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3C9716A2"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w:t>
      </w:r>
      <w:r w:rsidR="00182E8C">
        <w:rPr>
          <w:rFonts w:ascii="Arial" w:hAnsi="Arial" w:cs="Arial"/>
          <w:sz w:val="20"/>
          <w:lang w:val="sk-SK"/>
        </w:rPr>
        <w:t>poskytovateľovi pomoci a</w:t>
      </w:r>
      <w:r w:rsidR="001D314A">
        <w:rPr>
          <w:rFonts w:ascii="Arial" w:hAnsi="Arial" w:cs="Arial"/>
          <w:sz w:val="20"/>
          <w:lang w:val="sk-SK"/>
        </w:rPr>
        <w:t xml:space="preserve"> vykonávateľovi schémy</w:t>
      </w:r>
      <w:r w:rsidRPr="00F61D8C">
        <w:rPr>
          <w:rFonts w:ascii="Arial" w:hAnsi="Arial" w:cs="Arial"/>
          <w:sz w:val="20"/>
          <w:lang w:val="sk-SK"/>
        </w:rPr>
        <w:t xml:space="preserve">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3481" w14:textId="77777777" w:rsidR="00675ACF" w:rsidRDefault="00675ACF" w:rsidP="00D57E01">
      <w:r>
        <w:separator/>
      </w:r>
    </w:p>
  </w:endnote>
  <w:endnote w:type="continuationSeparator" w:id="0">
    <w:p w14:paraId="727511A4" w14:textId="77777777" w:rsidR="00675ACF" w:rsidRDefault="00675ACF" w:rsidP="00D57E01">
      <w:r>
        <w:continuationSeparator/>
      </w:r>
    </w:p>
  </w:endnote>
  <w:endnote w:type="continuationNotice" w:id="1">
    <w:p w14:paraId="048AFC4F" w14:textId="77777777" w:rsidR="00675ACF" w:rsidRDefault="0067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9B9945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F6775">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45A9EB08"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F9507D">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D7A3" w14:textId="77777777" w:rsidR="00675ACF" w:rsidRDefault="00675ACF" w:rsidP="00D57E01">
      <w:r>
        <w:separator/>
      </w:r>
    </w:p>
  </w:footnote>
  <w:footnote w:type="continuationSeparator" w:id="0">
    <w:p w14:paraId="2F43EEB9" w14:textId="77777777" w:rsidR="00675ACF" w:rsidRDefault="00675ACF" w:rsidP="00D57E01">
      <w:r>
        <w:continuationSeparator/>
      </w:r>
    </w:p>
  </w:footnote>
  <w:footnote w:type="continuationNotice" w:id="1">
    <w:p w14:paraId="4FE12E9D" w14:textId="77777777" w:rsidR="00675ACF" w:rsidRDefault="00675ACF"/>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2C3"/>
    <w:rsid w:val="00044C35"/>
    <w:rsid w:val="00053A5A"/>
    <w:rsid w:val="000605D9"/>
    <w:rsid w:val="00065B13"/>
    <w:rsid w:val="00072173"/>
    <w:rsid w:val="00075FFD"/>
    <w:rsid w:val="00076C57"/>
    <w:rsid w:val="00083359"/>
    <w:rsid w:val="00087A06"/>
    <w:rsid w:val="00093922"/>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5356"/>
    <w:rsid w:val="00176C4F"/>
    <w:rsid w:val="00177905"/>
    <w:rsid w:val="00181140"/>
    <w:rsid w:val="00181950"/>
    <w:rsid w:val="00182E8C"/>
    <w:rsid w:val="001848E4"/>
    <w:rsid w:val="00194F4E"/>
    <w:rsid w:val="001A041D"/>
    <w:rsid w:val="001A1345"/>
    <w:rsid w:val="001B17D5"/>
    <w:rsid w:val="001D2710"/>
    <w:rsid w:val="001D314A"/>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C90"/>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5F6775"/>
    <w:rsid w:val="00606B4D"/>
    <w:rsid w:val="00611F44"/>
    <w:rsid w:val="00623590"/>
    <w:rsid w:val="006253B0"/>
    <w:rsid w:val="0064326D"/>
    <w:rsid w:val="006572C6"/>
    <w:rsid w:val="00675ACF"/>
    <w:rsid w:val="00686CF4"/>
    <w:rsid w:val="00690E9A"/>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86DA2"/>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32A2"/>
    <w:rsid w:val="00EC0506"/>
    <w:rsid w:val="00ED2CCC"/>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9507D"/>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docId w15:val="{6E25441F-9834-4EDE-8A9F-DAC906F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836E6-BD9D-4A06-9D38-091DBE7E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10107</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10002046</dc:creator>
  <cp:lastModifiedBy>Hrčková Veronika</cp:lastModifiedBy>
  <cp:revision>2</cp:revision>
  <cp:lastPrinted>2017-06-21T10:13:00Z</cp:lastPrinted>
  <dcterms:created xsi:type="dcterms:W3CDTF">2019-08-12T15:09:00Z</dcterms:created>
  <dcterms:modified xsi:type="dcterms:W3CDTF">2019-08-12T15:09:00Z</dcterms:modified>
</cp:coreProperties>
</file>