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80" w:rsidRDefault="00420D80" w:rsidP="00184561">
      <w:pPr>
        <w:tabs>
          <w:tab w:val="left" w:pos="360"/>
        </w:tabs>
        <w:spacing w:line="264" w:lineRule="auto"/>
        <w:jc w:val="center"/>
        <w:rPr>
          <w:b/>
          <w:bCs/>
          <w:color w:val="231F20"/>
          <w:sz w:val="28"/>
          <w:szCs w:val="28"/>
          <w:lang w:eastAsia="sk-SK"/>
        </w:rPr>
      </w:pPr>
      <w:bookmarkStart w:id="0" w:name="_GoBack"/>
      <w:bookmarkEnd w:id="0"/>
      <w:r w:rsidRPr="00BB528E">
        <w:rPr>
          <w:b/>
          <w:bCs/>
          <w:color w:val="231F20"/>
          <w:sz w:val="28"/>
          <w:szCs w:val="28"/>
          <w:lang w:eastAsia="sk-SK"/>
        </w:rPr>
        <w:t xml:space="preserve">Schéma minimálnej pomoci </w:t>
      </w:r>
      <w:r>
        <w:rPr>
          <w:b/>
          <w:bCs/>
          <w:color w:val="231F20"/>
          <w:sz w:val="28"/>
          <w:szCs w:val="28"/>
          <w:lang w:eastAsia="sk-SK"/>
        </w:rPr>
        <w:t xml:space="preserve">na opatrenie 3. 2 </w:t>
      </w:r>
    </w:p>
    <w:p w:rsidR="00420D80" w:rsidRDefault="00420D80" w:rsidP="00420D80">
      <w:pPr>
        <w:tabs>
          <w:tab w:val="left" w:pos="360"/>
        </w:tabs>
        <w:spacing w:line="264" w:lineRule="auto"/>
        <w:jc w:val="center"/>
        <w:rPr>
          <w:b/>
          <w:bCs/>
          <w:color w:val="231F20"/>
          <w:sz w:val="28"/>
          <w:szCs w:val="28"/>
          <w:lang w:eastAsia="sk-SK"/>
        </w:rPr>
      </w:pPr>
      <w:r>
        <w:rPr>
          <w:b/>
          <w:bCs/>
          <w:color w:val="231F20"/>
          <w:sz w:val="28"/>
          <w:szCs w:val="28"/>
          <w:lang w:eastAsia="sk-SK"/>
        </w:rPr>
        <w:t xml:space="preserve">Podpora činností v oblasti vidieckeho cestovného ruchu – časť A </w:t>
      </w:r>
    </w:p>
    <w:p w:rsidR="00420D80" w:rsidRDefault="00420D80" w:rsidP="00420D80">
      <w:pPr>
        <w:tabs>
          <w:tab w:val="left" w:pos="360"/>
        </w:tabs>
        <w:spacing w:line="264" w:lineRule="auto"/>
        <w:jc w:val="center"/>
        <w:rPr>
          <w:b/>
          <w:bCs/>
          <w:color w:val="231F20"/>
          <w:sz w:val="28"/>
          <w:szCs w:val="28"/>
          <w:lang w:eastAsia="sk-SK"/>
        </w:rPr>
      </w:pPr>
      <w:r w:rsidDel="005428A1">
        <w:rPr>
          <w:b/>
          <w:bCs/>
          <w:color w:val="231F20"/>
          <w:sz w:val="28"/>
          <w:szCs w:val="28"/>
          <w:lang w:eastAsia="sk-SK"/>
        </w:rPr>
        <w:t xml:space="preserve"> </w:t>
      </w:r>
      <w:r w:rsidR="00184561">
        <w:rPr>
          <w:b/>
          <w:bCs/>
          <w:color w:val="231F20"/>
          <w:sz w:val="28"/>
          <w:szCs w:val="28"/>
          <w:lang w:eastAsia="sk-SK"/>
        </w:rPr>
        <w:t>(</w:t>
      </w:r>
      <w:r>
        <w:rPr>
          <w:b/>
          <w:bCs/>
          <w:color w:val="231F20"/>
          <w:sz w:val="28"/>
          <w:szCs w:val="28"/>
          <w:lang w:eastAsia="sk-SK"/>
        </w:rPr>
        <w:t>opatrenie 5. 3. 3. 2. Programu rozvoja vidieka SR 2007 – 2013</w:t>
      </w:r>
      <w:r w:rsidR="00D03077">
        <w:rPr>
          <w:b/>
          <w:bCs/>
          <w:color w:val="231F20"/>
          <w:sz w:val="28"/>
          <w:szCs w:val="28"/>
          <w:lang w:eastAsia="sk-SK"/>
        </w:rPr>
        <w:t>)</w:t>
      </w:r>
      <w:r w:rsidRPr="005428A1">
        <w:rPr>
          <w:b/>
          <w:bCs/>
          <w:color w:val="231F20"/>
          <w:sz w:val="28"/>
          <w:szCs w:val="28"/>
          <w:lang w:eastAsia="sk-SK"/>
        </w:rPr>
        <w:t xml:space="preserve"> </w:t>
      </w:r>
      <w:r w:rsidRPr="00630022">
        <w:rPr>
          <w:b/>
          <w:bCs/>
          <w:color w:val="231F20"/>
          <w:sz w:val="28"/>
          <w:szCs w:val="28"/>
          <w:lang w:eastAsia="sk-SK"/>
        </w:rPr>
        <w:t>implementované prostredníctvom osi 4 Leader</w:t>
      </w:r>
      <w:r w:rsidR="002E0FB8">
        <w:rPr>
          <w:b/>
          <w:bCs/>
          <w:color w:val="231F20"/>
          <w:sz w:val="28"/>
          <w:szCs w:val="28"/>
          <w:lang w:eastAsia="sk-SK"/>
        </w:rPr>
        <w:t xml:space="preserve"> v znení Dodatku č. </w:t>
      </w:r>
      <w:r w:rsidR="00297160">
        <w:rPr>
          <w:b/>
          <w:bCs/>
          <w:color w:val="231F20"/>
          <w:sz w:val="28"/>
          <w:szCs w:val="28"/>
          <w:lang w:eastAsia="sk-SK"/>
        </w:rPr>
        <w:t>2</w:t>
      </w:r>
    </w:p>
    <w:p w:rsidR="004555F3" w:rsidRPr="004555F3" w:rsidRDefault="004555F3" w:rsidP="00D47B52">
      <w:pPr>
        <w:pStyle w:val="Textpoznmkypodiarou"/>
        <w:jc w:val="both"/>
        <w:rPr>
          <w:sz w:val="24"/>
          <w:szCs w:val="24"/>
          <w:u w:val="single"/>
        </w:rPr>
      </w:pPr>
    </w:p>
    <w:p w:rsidR="00D47B52" w:rsidRPr="00392735" w:rsidRDefault="007B710B" w:rsidP="00D47B52">
      <w:pPr>
        <w:pStyle w:val="Textpoznmkypodiarou"/>
        <w:jc w:val="both"/>
        <w:rPr>
          <w:b/>
          <w:sz w:val="24"/>
          <w:szCs w:val="24"/>
          <w:u w:val="single"/>
        </w:rPr>
      </w:pPr>
      <w:r w:rsidRPr="00392735">
        <w:rPr>
          <w:b/>
          <w:sz w:val="24"/>
          <w:szCs w:val="24"/>
          <w:u w:val="single"/>
        </w:rPr>
        <w:t>Číslo schémy:</w:t>
      </w:r>
      <w:r w:rsidRPr="00392735">
        <w:rPr>
          <w:b/>
          <w:sz w:val="24"/>
          <w:szCs w:val="24"/>
        </w:rPr>
        <w:t xml:space="preserve"> </w:t>
      </w:r>
      <w:r w:rsidR="002E0FB8" w:rsidRPr="00392735">
        <w:rPr>
          <w:b/>
          <w:sz w:val="24"/>
          <w:szCs w:val="24"/>
        </w:rPr>
        <w:t>DM – 8/2010</w:t>
      </w:r>
    </w:p>
    <w:p w:rsidR="007E5113" w:rsidRPr="004D2B15" w:rsidRDefault="007E5113" w:rsidP="007E511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53C2">
        <w:rPr>
          <w:color w:val="000000"/>
          <w:sz w:val="24"/>
          <w:szCs w:val="24"/>
        </w:rPr>
        <w:t>Schéma minimálnej pomoci</w:t>
      </w:r>
      <w:r>
        <w:rPr>
          <w:color w:val="000000"/>
          <w:sz w:val="24"/>
          <w:szCs w:val="24"/>
        </w:rPr>
        <w:t xml:space="preserve"> (</w:t>
      </w:r>
      <w:r w:rsidRPr="00FC53C2">
        <w:rPr>
          <w:color w:val="000000"/>
          <w:sz w:val="24"/>
          <w:szCs w:val="24"/>
        </w:rPr>
        <w:t xml:space="preserve">ďalej len „schéma“) </w:t>
      </w:r>
      <w:r>
        <w:rPr>
          <w:color w:val="000000"/>
          <w:sz w:val="24"/>
          <w:szCs w:val="24"/>
        </w:rPr>
        <w:t>na opatrenie 3.2 Podpora činností v oblasti vidieckeho cestovného ruchu – časť A</w:t>
      </w:r>
      <w:r w:rsidR="00184561">
        <w:rPr>
          <w:color w:val="000000"/>
          <w:sz w:val="24"/>
          <w:szCs w:val="24"/>
        </w:rPr>
        <w:t>, implementované prostredníctvom osi 4 Leader</w:t>
      </w:r>
      <w:r>
        <w:rPr>
          <w:color w:val="000000"/>
          <w:sz w:val="24"/>
          <w:szCs w:val="24"/>
        </w:rPr>
        <w:t xml:space="preserve"> </w:t>
      </w:r>
      <w:r w:rsidRPr="00FC53C2">
        <w:rPr>
          <w:color w:val="000000"/>
          <w:sz w:val="24"/>
          <w:szCs w:val="24"/>
        </w:rPr>
        <w:t>je vypracovaná v súlade s</w:t>
      </w:r>
      <w:r>
        <w:rPr>
          <w:color w:val="000000"/>
          <w:sz w:val="24"/>
          <w:szCs w:val="24"/>
        </w:rPr>
        <w:t> opatrením 5.3.3.2 Programu rozvoja vidieka SR 2007 – 2013 (ďalej len „PRV</w:t>
      </w:r>
      <w:r w:rsidRPr="00076C8D">
        <w:rPr>
          <w:color w:val="000000"/>
          <w:sz w:val="24"/>
          <w:szCs w:val="24"/>
        </w:rPr>
        <w:t xml:space="preserve">“), </w:t>
      </w:r>
      <w:r w:rsidRPr="00076C8D">
        <w:rPr>
          <w:sz w:val="24"/>
          <w:szCs w:val="24"/>
        </w:rPr>
        <w:t xml:space="preserve">ktorý je v súlade s nariadením </w:t>
      </w:r>
      <w:r w:rsidRPr="00076C8D">
        <w:rPr>
          <w:sz w:val="24"/>
          <w:szCs w:val="24"/>
          <w:lang w:eastAsia="sk-SK"/>
        </w:rPr>
        <w:t xml:space="preserve">Rady (ES) č. 1698/2005 z 20. septembra 2005 o podpore rozvoja vidieka prostredníctvom Európskeho poľnohospodárskeho fondu pre rozvoj vidieka (Ú. v. L 227, 21. 10. 2005), nariadením Komisie (ES) č. 1974/2006 z 15. decembra 2006, ktorým sa ustanovujú podrobné pravidlá vykonávania nariadenia Rady (ES) č. 1698/2005 o podpore rozvoja vidieka prostredníctvom Európskeho poľnohospodárskeho fondu pre rozvoj vidieka (Ú. v. L 368, 23. 12. 2006) </w:t>
      </w:r>
      <w:r w:rsidRPr="00076C8D">
        <w:rPr>
          <w:color w:val="000000"/>
          <w:sz w:val="24"/>
          <w:szCs w:val="24"/>
        </w:rPr>
        <w:t>a platnými pravidlami upravujúcimi poskytovanie minimálnej pomoci v oblasti cestovného ruchu. Podmienky poskytovania minimálnej pomoci v oblasti cestovného ruchu sú upravené</w:t>
      </w:r>
      <w:r w:rsidRPr="00FC53C2">
        <w:rPr>
          <w:color w:val="000000"/>
          <w:sz w:val="24"/>
          <w:szCs w:val="24"/>
        </w:rPr>
        <w:t xml:space="preserve"> v nariad</w:t>
      </w:r>
      <w:r>
        <w:rPr>
          <w:color w:val="000000"/>
          <w:sz w:val="24"/>
          <w:szCs w:val="24"/>
        </w:rPr>
        <w:t xml:space="preserve">ení Komisie (ES) </w:t>
      </w:r>
      <w:r w:rsidRPr="00FC53C2">
        <w:rPr>
          <w:color w:val="000000"/>
          <w:sz w:val="24"/>
          <w:szCs w:val="24"/>
        </w:rPr>
        <w:t xml:space="preserve">č. 1998/2006 z 15. decembra 2006 o uplatňovaní článkov 87 a 88 na pomoc </w:t>
      </w:r>
      <w:r w:rsidRPr="00FC53C2">
        <w:rPr>
          <w:i/>
          <w:iCs/>
          <w:color w:val="000000"/>
          <w:sz w:val="24"/>
          <w:szCs w:val="24"/>
        </w:rPr>
        <w:t>de minimis</w:t>
      </w:r>
      <w:r w:rsidRPr="00FC53C2">
        <w:rPr>
          <w:color w:val="000000"/>
          <w:sz w:val="24"/>
          <w:szCs w:val="24"/>
        </w:rPr>
        <w:t>(Ú. v. EÚ</w:t>
      </w:r>
      <w:r>
        <w:rPr>
          <w:color w:val="000000"/>
          <w:sz w:val="24"/>
          <w:szCs w:val="24"/>
        </w:rPr>
        <w:t xml:space="preserve"> L 379/5, 28. 12. 2006). </w:t>
      </w:r>
    </w:p>
    <w:p w:rsidR="004D2B15" w:rsidRDefault="004D2B15" w:rsidP="00D47B52">
      <w:pPr>
        <w:pStyle w:val="Textpoznmkypodiarou"/>
        <w:jc w:val="both"/>
        <w:rPr>
          <w:sz w:val="24"/>
          <w:szCs w:val="24"/>
        </w:rPr>
      </w:pPr>
    </w:p>
    <w:p w:rsidR="008E7EB7" w:rsidRDefault="008E7EB7" w:rsidP="00EF5C58">
      <w:pPr>
        <w:pStyle w:val="Nadpis4"/>
        <w:numPr>
          <w:ilvl w:val="0"/>
          <w:numId w:val="24"/>
        </w:numPr>
        <w:rPr>
          <w:b/>
          <w:bCs/>
        </w:rPr>
      </w:pPr>
      <w:r w:rsidRPr="0095504D">
        <w:rPr>
          <w:b/>
          <w:bCs/>
        </w:rPr>
        <w:t>Preambula</w:t>
      </w:r>
    </w:p>
    <w:p w:rsidR="00097E71" w:rsidRPr="002C1A78" w:rsidRDefault="0067250C" w:rsidP="002C1A78">
      <w:pPr>
        <w:pStyle w:val="Zarkazkladnhotextu21"/>
        <w:spacing w:line="240" w:lineRule="auto"/>
        <w:ind w:firstLine="0"/>
        <w:rPr>
          <w:i/>
          <w:iCs/>
          <w:color w:val="000000"/>
        </w:rPr>
      </w:pPr>
      <w:r>
        <w:t xml:space="preserve">Predmetom schémy je poskytovanie </w:t>
      </w:r>
      <w:r w:rsidR="004C7A7D">
        <w:t>pomoci de minimis (</w:t>
      </w:r>
      <w:r w:rsidR="0098609C">
        <w:t>ďalej len „pomoc“) v oblasti cestovného ruchu v zmysle opatrenia 3.2 Podpora činností v oblasti vidieckeho cestovného ruchu – časti A</w:t>
      </w:r>
      <w:r w:rsidR="00184561">
        <w:t xml:space="preserve"> </w:t>
      </w:r>
      <w:r w:rsidR="007E5113">
        <w:t>implementované prostredníctvom osi 4 Leader.</w:t>
      </w:r>
    </w:p>
    <w:p w:rsidR="007B710B" w:rsidRPr="00394919" w:rsidRDefault="007B710B" w:rsidP="00D47B52">
      <w:pPr>
        <w:pStyle w:val="Zarkazkladnhotextu21"/>
        <w:spacing w:line="240" w:lineRule="auto"/>
        <w:ind w:firstLine="0"/>
      </w:pPr>
    </w:p>
    <w:p w:rsidR="008E7EB7" w:rsidRPr="0095504D" w:rsidRDefault="008E7EB7" w:rsidP="00EF5C58">
      <w:pPr>
        <w:pStyle w:val="Nadpis4"/>
        <w:numPr>
          <w:ilvl w:val="0"/>
          <w:numId w:val="24"/>
        </w:numPr>
        <w:rPr>
          <w:b/>
          <w:bCs/>
        </w:rPr>
      </w:pPr>
      <w:r w:rsidRPr="0095504D">
        <w:rPr>
          <w:b/>
          <w:bCs/>
        </w:rPr>
        <w:t>Právny základ</w:t>
      </w:r>
    </w:p>
    <w:p w:rsidR="00CE73B1" w:rsidRDefault="002B0913" w:rsidP="00CE73B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Právnym základom pre poskytovanie</w:t>
      </w:r>
      <w:r w:rsidR="00E40FFF">
        <w:rPr>
          <w:sz w:val="24"/>
          <w:szCs w:val="24"/>
        </w:rPr>
        <w:t xml:space="preserve"> pomoci sú:</w:t>
      </w:r>
    </w:p>
    <w:p w:rsidR="0098609C" w:rsidRPr="009C094A" w:rsidRDefault="0098609C" w:rsidP="001B0B7C">
      <w:pPr>
        <w:numPr>
          <w:ilvl w:val="0"/>
          <w:numId w:val="23"/>
        </w:numPr>
        <w:ind w:left="357" w:hanging="357"/>
        <w:jc w:val="both"/>
        <w:rPr>
          <w:sz w:val="24"/>
          <w:szCs w:val="24"/>
        </w:rPr>
      </w:pPr>
      <w:r w:rsidRPr="009C094A">
        <w:rPr>
          <w:sz w:val="24"/>
          <w:szCs w:val="24"/>
        </w:rPr>
        <w:t>Zákon č. 231/1999 Z. z. o štátnej pomoci v znení neskorších predpisov (ďalej len „zákon o štátnej pomoci“),</w:t>
      </w:r>
    </w:p>
    <w:p w:rsidR="0098609C" w:rsidRPr="00076537" w:rsidRDefault="0098609C" w:rsidP="001B0B7C">
      <w:pPr>
        <w:numPr>
          <w:ilvl w:val="0"/>
          <w:numId w:val="23"/>
        </w:numPr>
        <w:ind w:left="357" w:hanging="357"/>
        <w:jc w:val="both"/>
        <w:rPr>
          <w:sz w:val="24"/>
          <w:szCs w:val="24"/>
        </w:rPr>
      </w:pPr>
      <w:r w:rsidRPr="009C094A">
        <w:rPr>
          <w:sz w:val="24"/>
          <w:szCs w:val="24"/>
        </w:rPr>
        <w:t xml:space="preserve">Nariadenie Komisie (ES) č. 1998/2006 z 15. decembra 2006 o uplatňovaní článkov 87 a 88 </w:t>
      </w:r>
      <w:r w:rsidR="004C7A7D">
        <w:rPr>
          <w:sz w:val="24"/>
          <w:szCs w:val="24"/>
        </w:rPr>
        <w:t xml:space="preserve">zmluvy </w:t>
      </w:r>
      <w:r w:rsidRPr="009C094A">
        <w:rPr>
          <w:sz w:val="24"/>
          <w:szCs w:val="24"/>
        </w:rPr>
        <w:t xml:space="preserve">na pomoc de minimis  (ďalej len „nariadenie Komisie č. 1998/2006“), (Ú. v. </w:t>
      </w:r>
      <w:r w:rsidRPr="00076537">
        <w:rPr>
          <w:sz w:val="24"/>
          <w:szCs w:val="24"/>
        </w:rPr>
        <w:t>EÚ L 379, 28.12. 2006),</w:t>
      </w:r>
    </w:p>
    <w:p w:rsidR="008F3D24" w:rsidRPr="00076537" w:rsidRDefault="008F3D24" w:rsidP="001B0B7C">
      <w:pPr>
        <w:numPr>
          <w:ilvl w:val="0"/>
          <w:numId w:val="23"/>
        </w:numPr>
        <w:ind w:left="357" w:hanging="357"/>
        <w:jc w:val="both"/>
        <w:rPr>
          <w:sz w:val="24"/>
          <w:szCs w:val="24"/>
        </w:rPr>
      </w:pPr>
      <w:r w:rsidRPr="00076537">
        <w:rPr>
          <w:sz w:val="24"/>
          <w:szCs w:val="24"/>
        </w:rPr>
        <w:t>Nariadenie Rady (ES) č. 1698/2005 z 20. septembra 2005 o podpore rozvoja vidieka prostredníctvom Európskeho poľnohospodárskeho fondu pre rozvoj vidieka (EPFRV), (ďalej len „nariadenie Rady (ES) č. 1698/2005“) (Ú. v. EÚ L 277, 21. 10. 2005),</w:t>
      </w:r>
    </w:p>
    <w:p w:rsidR="008F3D24" w:rsidRPr="00076537" w:rsidRDefault="008F3D24" w:rsidP="001B0B7C">
      <w:pPr>
        <w:numPr>
          <w:ilvl w:val="0"/>
          <w:numId w:val="23"/>
        </w:numPr>
        <w:ind w:left="357" w:hanging="357"/>
        <w:jc w:val="both"/>
        <w:rPr>
          <w:sz w:val="24"/>
          <w:szCs w:val="24"/>
        </w:rPr>
      </w:pPr>
      <w:r w:rsidRPr="00076537">
        <w:rPr>
          <w:sz w:val="24"/>
          <w:szCs w:val="24"/>
        </w:rPr>
        <w:t>Nariadenie Komisie (ES) č. 1974/2006 z 15. decembra 2006, ktorým sa ustanovujú podrobné pravidlá vykonávania nariadenia Rady (ES) č. 1698/2005 o podpore rozvoja vidieka prostredníctvom Európskeho poľnohospodárskeho fondu pre rozvoj vidieka (EPFRV), (ďalej len „nariadenie Komisie (ES) č. 1974/2006“) (Ú. v. EÚ L 368, 23. 12. 2006),</w:t>
      </w:r>
    </w:p>
    <w:p w:rsidR="0098609C" w:rsidRDefault="0098609C" w:rsidP="001B0B7C">
      <w:pPr>
        <w:numPr>
          <w:ilvl w:val="0"/>
          <w:numId w:val="23"/>
        </w:numPr>
        <w:ind w:left="357" w:hanging="357"/>
        <w:jc w:val="both"/>
        <w:rPr>
          <w:sz w:val="24"/>
          <w:szCs w:val="24"/>
        </w:rPr>
      </w:pPr>
      <w:r w:rsidRPr="009C094A">
        <w:rPr>
          <w:sz w:val="24"/>
          <w:szCs w:val="24"/>
        </w:rPr>
        <w:t xml:space="preserve">Nariadenie Komisie </w:t>
      </w:r>
      <w:r w:rsidR="009C3FBB">
        <w:rPr>
          <w:sz w:val="24"/>
          <w:szCs w:val="24"/>
        </w:rPr>
        <w:t xml:space="preserve">(EÚ) </w:t>
      </w:r>
      <w:r w:rsidRPr="009C094A">
        <w:rPr>
          <w:sz w:val="24"/>
          <w:szCs w:val="24"/>
        </w:rPr>
        <w:t xml:space="preserve">č. </w:t>
      </w:r>
      <w:r w:rsidR="009C3FBB">
        <w:rPr>
          <w:sz w:val="24"/>
          <w:szCs w:val="24"/>
        </w:rPr>
        <w:t xml:space="preserve">65/2011 </w:t>
      </w:r>
      <w:r w:rsidRPr="009C094A">
        <w:rPr>
          <w:sz w:val="24"/>
          <w:szCs w:val="24"/>
        </w:rPr>
        <w:t xml:space="preserve">z </w:t>
      </w:r>
      <w:r w:rsidR="009C3FBB">
        <w:rPr>
          <w:sz w:val="24"/>
          <w:szCs w:val="24"/>
        </w:rPr>
        <w:t>27</w:t>
      </w:r>
      <w:r w:rsidRPr="009C094A">
        <w:rPr>
          <w:sz w:val="24"/>
          <w:szCs w:val="24"/>
        </w:rPr>
        <w:t xml:space="preserve">. </w:t>
      </w:r>
      <w:r w:rsidR="009C3FBB">
        <w:rPr>
          <w:sz w:val="24"/>
          <w:szCs w:val="24"/>
        </w:rPr>
        <w:t>januára</w:t>
      </w:r>
      <w:r w:rsidRPr="009C094A">
        <w:rPr>
          <w:sz w:val="24"/>
          <w:szCs w:val="24"/>
        </w:rPr>
        <w:t xml:space="preserve"> 20</w:t>
      </w:r>
      <w:r w:rsidR="009C3FBB">
        <w:rPr>
          <w:sz w:val="24"/>
          <w:szCs w:val="24"/>
        </w:rPr>
        <w:t>11</w:t>
      </w:r>
      <w:r w:rsidRPr="009C094A">
        <w:rPr>
          <w:sz w:val="24"/>
          <w:szCs w:val="24"/>
        </w:rPr>
        <w:t>, ktorým sa stanovujú podrobné pravidlá uplatňovania nariadenia (ES) č. 1698/2005, pokiaľ ide o realizáciu kontrolných postupov a krížového plnenia pri opatreniach na podporu rozvoja vidieka (ďalej len „nariadenie Komisie (</w:t>
      </w:r>
      <w:r w:rsidR="009C3FBB">
        <w:rPr>
          <w:sz w:val="24"/>
          <w:szCs w:val="24"/>
        </w:rPr>
        <w:t>EÚ</w:t>
      </w:r>
      <w:r w:rsidRPr="009C094A">
        <w:rPr>
          <w:sz w:val="24"/>
          <w:szCs w:val="24"/>
        </w:rPr>
        <w:t xml:space="preserve">) č. </w:t>
      </w:r>
      <w:r w:rsidR="009C3FBB">
        <w:rPr>
          <w:sz w:val="24"/>
          <w:szCs w:val="24"/>
        </w:rPr>
        <w:t>65/2011</w:t>
      </w:r>
      <w:r w:rsidRPr="009C094A">
        <w:rPr>
          <w:sz w:val="24"/>
          <w:szCs w:val="24"/>
        </w:rPr>
        <w:t xml:space="preserve">“) (Ú. v. EÚ L </w:t>
      </w:r>
      <w:r w:rsidR="009C3FBB">
        <w:rPr>
          <w:sz w:val="24"/>
          <w:szCs w:val="24"/>
        </w:rPr>
        <w:t>25</w:t>
      </w:r>
      <w:r w:rsidRPr="009C094A">
        <w:rPr>
          <w:sz w:val="24"/>
          <w:szCs w:val="24"/>
        </w:rPr>
        <w:t xml:space="preserve">, </w:t>
      </w:r>
      <w:r w:rsidR="009C3FBB">
        <w:rPr>
          <w:sz w:val="24"/>
          <w:szCs w:val="24"/>
        </w:rPr>
        <w:t>28</w:t>
      </w:r>
      <w:r w:rsidRPr="009C094A">
        <w:rPr>
          <w:sz w:val="24"/>
          <w:szCs w:val="24"/>
        </w:rPr>
        <w:t>. 1. 20</w:t>
      </w:r>
      <w:r w:rsidR="009C3FBB">
        <w:rPr>
          <w:sz w:val="24"/>
          <w:szCs w:val="24"/>
        </w:rPr>
        <w:t>11</w:t>
      </w:r>
      <w:r w:rsidRPr="009C094A">
        <w:rPr>
          <w:sz w:val="24"/>
          <w:szCs w:val="24"/>
        </w:rPr>
        <w:t>)</w:t>
      </w:r>
      <w:r w:rsidR="008F3D24">
        <w:rPr>
          <w:sz w:val="24"/>
          <w:szCs w:val="24"/>
        </w:rPr>
        <w:t>,</w:t>
      </w:r>
    </w:p>
    <w:p w:rsidR="008F3D24" w:rsidRPr="002C6F21" w:rsidRDefault="008F3D24" w:rsidP="001B0B7C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528/2008 Z. z. o pomoci a podpore poskytovanej z fondov </w:t>
      </w:r>
      <w:r w:rsidR="00630022">
        <w:rPr>
          <w:sz w:val="24"/>
          <w:szCs w:val="24"/>
        </w:rPr>
        <w:t xml:space="preserve">Európskej únie v znení neskorších predpisov </w:t>
      </w:r>
      <w:r>
        <w:rPr>
          <w:sz w:val="24"/>
          <w:szCs w:val="24"/>
        </w:rPr>
        <w:t xml:space="preserve">(ďalej len „zákon č. 528/2008 Z. z.“), </w:t>
      </w:r>
    </w:p>
    <w:p w:rsidR="00184561" w:rsidRDefault="00184561" w:rsidP="001B0B7C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Zákon č. 523/2004 Z. z. o rozpočtových pravidlách verejnej správy a o zmene a doplnení niektorých zákonov v znení neskorších predpisov.</w:t>
      </w:r>
    </w:p>
    <w:p w:rsidR="00184561" w:rsidRDefault="00184561" w:rsidP="00184561">
      <w:pPr>
        <w:autoSpaceDE w:val="0"/>
        <w:jc w:val="both"/>
        <w:rPr>
          <w:sz w:val="24"/>
          <w:szCs w:val="24"/>
        </w:rPr>
      </w:pPr>
    </w:p>
    <w:p w:rsidR="0098609C" w:rsidRDefault="0098609C" w:rsidP="00CE73B1">
      <w:pPr>
        <w:autoSpaceDE w:val="0"/>
        <w:jc w:val="both"/>
        <w:rPr>
          <w:sz w:val="24"/>
          <w:szCs w:val="24"/>
        </w:rPr>
      </w:pPr>
    </w:p>
    <w:p w:rsidR="008E7EB7" w:rsidRDefault="00D4575E" w:rsidP="00EF5C58">
      <w:pPr>
        <w:pStyle w:val="Nadpis4"/>
        <w:numPr>
          <w:ilvl w:val="0"/>
          <w:numId w:val="24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>Cieľ</w:t>
      </w:r>
      <w:r w:rsidR="007922E2">
        <w:rPr>
          <w:b/>
          <w:bCs/>
        </w:rPr>
        <w:t xml:space="preserve"> </w:t>
      </w:r>
      <w:r w:rsidR="008E7EB7" w:rsidRPr="0095504D">
        <w:rPr>
          <w:b/>
          <w:bCs/>
        </w:rPr>
        <w:t xml:space="preserve">pomoci </w:t>
      </w:r>
    </w:p>
    <w:p w:rsidR="00902823" w:rsidRPr="00902823" w:rsidRDefault="00902823" w:rsidP="00902823">
      <w:pPr>
        <w:pStyle w:val="Zkladntext2"/>
      </w:pPr>
      <w:r w:rsidRPr="00902823">
        <w:t>Diverzifikácia smerom k nepoľnohospodárskym aktivitám, rozvoj nepoľnohospodárskych aktivít a zvyšovanie vidieckej zamestnanosti.</w:t>
      </w:r>
    </w:p>
    <w:p w:rsidR="00902823" w:rsidRPr="00902823" w:rsidRDefault="00902823" w:rsidP="00902823">
      <w:pPr>
        <w:pStyle w:val="Zkladntext2"/>
        <w:spacing w:before="120"/>
      </w:pPr>
      <w:r w:rsidRPr="00902823">
        <w:t>Tento cieľ sa bude napĺňať predovšetkým prostredníctvom:</w:t>
      </w:r>
    </w:p>
    <w:p w:rsidR="00902823" w:rsidRPr="00902823" w:rsidRDefault="00902823" w:rsidP="00455F0F">
      <w:pPr>
        <w:numPr>
          <w:ilvl w:val="0"/>
          <w:numId w:val="6"/>
        </w:numPr>
        <w:jc w:val="both"/>
        <w:rPr>
          <w:sz w:val="24"/>
          <w:szCs w:val="24"/>
        </w:rPr>
      </w:pPr>
      <w:r w:rsidRPr="00902823">
        <w:rPr>
          <w:sz w:val="24"/>
          <w:szCs w:val="24"/>
        </w:rPr>
        <w:t>rozširovania zdrojov príjmov vidieckeho obyvateľstva;</w:t>
      </w:r>
    </w:p>
    <w:p w:rsidR="00902823" w:rsidRPr="00902823" w:rsidRDefault="00902823" w:rsidP="00455F0F">
      <w:pPr>
        <w:numPr>
          <w:ilvl w:val="0"/>
          <w:numId w:val="6"/>
        </w:numPr>
        <w:jc w:val="both"/>
        <w:rPr>
          <w:sz w:val="24"/>
          <w:szCs w:val="24"/>
        </w:rPr>
      </w:pPr>
      <w:r w:rsidRPr="00902823">
        <w:rPr>
          <w:sz w:val="24"/>
          <w:szCs w:val="24"/>
        </w:rPr>
        <w:t>tvorby nových a zachovania už existujúcich pracovných miest;</w:t>
      </w:r>
    </w:p>
    <w:p w:rsidR="00902823" w:rsidRDefault="00902823" w:rsidP="00455F0F">
      <w:pPr>
        <w:numPr>
          <w:ilvl w:val="0"/>
          <w:numId w:val="6"/>
        </w:numPr>
        <w:jc w:val="both"/>
        <w:rPr>
          <w:sz w:val="24"/>
          <w:szCs w:val="24"/>
        </w:rPr>
      </w:pPr>
      <w:r w:rsidRPr="00902823">
        <w:rPr>
          <w:sz w:val="24"/>
          <w:szCs w:val="24"/>
        </w:rPr>
        <w:t>zvyšovania informovanosti širokej verejnosti o možnostiach pobytu v zariadeniach vidieckeho cestovného ruchu.</w:t>
      </w:r>
    </w:p>
    <w:p w:rsidR="00F97F90" w:rsidRDefault="00F97F90" w:rsidP="00F97F90">
      <w:pPr>
        <w:jc w:val="both"/>
        <w:rPr>
          <w:sz w:val="24"/>
          <w:szCs w:val="24"/>
        </w:rPr>
      </w:pPr>
    </w:p>
    <w:p w:rsidR="00145F33" w:rsidRPr="0095504D" w:rsidRDefault="00145F33" w:rsidP="00EF5C58">
      <w:pPr>
        <w:pStyle w:val="Nadpis4"/>
        <w:numPr>
          <w:ilvl w:val="0"/>
          <w:numId w:val="24"/>
        </w:numPr>
        <w:rPr>
          <w:b/>
          <w:bCs/>
        </w:rPr>
      </w:pPr>
      <w:r w:rsidRPr="0095504D">
        <w:rPr>
          <w:b/>
          <w:bCs/>
        </w:rPr>
        <w:t>Poskytovateľ pomoci</w:t>
      </w:r>
      <w:r w:rsidR="009E0F9B">
        <w:rPr>
          <w:b/>
          <w:bCs/>
        </w:rPr>
        <w:t xml:space="preserve"> a vykonávateľ schémy</w:t>
      </w:r>
      <w:r w:rsidR="002C0D1F">
        <w:rPr>
          <w:b/>
          <w:bCs/>
        </w:rPr>
        <w:t xml:space="preserve"> </w:t>
      </w:r>
    </w:p>
    <w:p w:rsidR="001527E8" w:rsidRDefault="001527E8" w:rsidP="001527E8">
      <w:pPr>
        <w:pStyle w:val="Zkladntext22"/>
        <w:spacing w:line="264" w:lineRule="auto"/>
        <w:jc w:val="left"/>
      </w:pPr>
      <w:r>
        <w:t>Poskytovateľ minimálnej pomoci:</w:t>
      </w:r>
    </w:p>
    <w:p w:rsidR="006D4894" w:rsidRDefault="006D4894" w:rsidP="006D4894">
      <w:pPr>
        <w:pStyle w:val="Zkladntext22"/>
        <w:spacing w:line="264" w:lineRule="auto"/>
      </w:pPr>
      <w:r>
        <w:t>Ministerstvo pôdohospodárstva</w:t>
      </w:r>
      <w:r w:rsidR="003048FA">
        <w:t>  a </w:t>
      </w:r>
      <w:r w:rsidR="001C6EA4">
        <w:t>rozvoja</w:t>
      </w:r>
      <w:r w:rsidR="003048FA">
        <w:t xml:space="preserve"> vidieka</w:t>
      </w:r>
      <w:r>
        <w:t xml:space="preserve"> SR (ďalej len „ministerstvo“)</w:t>
      </w:r>
    </w:p>
    <w:p w:rsidR="006D4894" w:rsidRDefault="006D4894" w:rsidP="006D4894">
      <w:pPr>
        <w:pStyle w:val="Zkladntext22"/>
        <w:tabs>
          <w:tab w:val="clear" w:pos="360"/>
        </w:tabs>
        <w:spacing w:line="264" w:lineRule="auto"/>
      </w:pPr>
      <w:r>
        <w:t xml:space="preserve">Dobrovičova  12 </w:t>
      </w:r>
    </w:p>
    <w:p w:rsidR="006D4894" w:rsidRDefault="006D4894" w:rsidP="006D4894">
      <w:pPr>
        <w:pStyle w:val="Zkladntext22"/>
        <w:tabs>
          <w:tab w:val="clear" w:pos="360"/>
        </w:tabs>
        <w:spacing w:line="264" w:lineRule="auto"/>
      </w:pPr>
      <w:r>
        <w:t>Bratislava 812 66</w:t>
      </w:r>
    </w:p>
    <w:p w:rsidR="006D4894" w:rsidRDefault="006D4894" w:rsidP="006D4894">
      <w:pPr>
        <w:pStyle w:val="Zkladntext22"/>
        <w:tabs>
          <w:tab w:val="clear" w:pos="360"/>
        </w:tabs>
        <w:spacing w:line="264" w:lineRule="auto"/>
      </w:pPr>
      <w:r>
        <w:t>Slovenská republika</w:t>
      </w:r>
    </w:p>
    <w:p w:rsidR="006D4894" w:rsidRDefault="006D4894" w:rsidP="006D4894">
      <w:pPr>
        <w:pStyle w:val="Zkladntext22"/>
        <w:tabs>
          <w:tab w:val="clear" w:pos="360"/>
        </w:tabs>
        <w:spacing w:line="264" w:lineRule="auto"/>
      </w:pPr>
      <w:r>
        <w:t>Tel.: + 421 2 592 66 111</w:t>
      </w:r>
    </w:p>
    <w:p w:rsidR="006D4894" w:rsidRDefault="00E7523A" w:rsidP="006D4894">
      <w:pPr>
        <w:jc w:val="both"/>
        <w:rPr>
          <w:sz w:val="24"/>
          <w:szCs w:val="24"/>
        </w:rPr>
      </w:pPr>
      <w:r>
        <w:rPr>
          <w:sz w:val="24"/>
          <w:szCs w:val="24"/>
        </w:rPr>
        <w:t>Webové sídlo</w:t>
      </w:r>
      <w:r w:rsidR="006D4894" w:rsidRPr="003C18FF">
        <w:rPr>
          <w:sz w:val="24"/>
          <w:szCs w:val="24"/>
        </w:rPr>
        <w:t xml:space="preserve">: </w:t>
      </w:r>
      <w:hyperlink r:id="rId8" w:history="1">
        <w:r w:rsidR="006D4894" w:rsidRPr="00337F74">
          <w:rPr>
            <w:rStyle w:val="Hypertextovprepojenie"/>
            <w:sz w:val="24"/>
            <w:szCs w:val="24"/>
          </w:rPr>
          <w:t>http://www.land.gov.sk</w:t>
        </w:r>
      </w:hyperlink>
    </w:p>
    <w:p w:rsidR="006D4894" w:rsidRDefault="006D4894" w:rsidP="006D4894">
      <w:pPr>
        <w:pStyle w:val="Zkladntext22"/>
        <w:spacing w:line="264" w:lineRule="auto"/>
      </w:pPr>
    </w:p>
    <w:p w:rsidR="006D4894" w:rsidRDefault="006D4894" w:rsidP="006D4894">
      <w:pPr>
        <w:pStyle w:val="Zkladntext21"/>
        <w:rPr>
          <w:spacing w:val="-4"/>
        </w:rPr>
      </w:pPr>
      <w:r>
        <w:rPr>
          <w:spacing w:val="-4"/>
        </w:rPr>
        <w:t>Pôsobnosť ministerstva je ustanovená zákonom č. 575/2001 Z. z. o organizácii činnosti vlády a organizácii ústrednej štátnej správy v znení neskorších predpisov.</w:t>
      </w:r>
    </w:p>
    <w:p w:rsidR="006D4894" w:rsidRDefault="006D4894" w:rsidP="006D4894">
      <w:pPr>
        <w:pStyle w:val="Zkladntext21"/>
        <w:rPr>
          <w:spacing w:val="-4"/>
        </w:rPr>
      </w:pPr>
    </w:p>
    <w:p w:rsidR="006D4894" w:rsidRDefault="006D4894" w:rsidP="006D4894">
      <w:pPr>
        <w:pStyle w:val="Zkladntext22"/>
        <w:spacing w:line="264" w:lineRule="auto"/>
      </w:pPr>
      <w:r>
        <w:t>Vykonávateľ schémy:</w:t>
      </w:r>
    </w:p>
    <w:p w:rsidR="006D4894" w:rsidRDefault="006D4894" w:rsidP="006D4894">
      <w:pPr>
        <w:rPr>
          <w:sz w:val="24"/>
          <w:szCs w:val="24"/>
        </w:rPr>
      </w:pPr>
      <w:r>
        <w:rPr>
          <w:sz w:val="24"/>
          <w:szCs w:val="24"/>
        </w:rPr>
        <w:t>Pôdohospodárska platobná agentúra (ďalej len „PPA“)</w:t>
      </w:r>
    </w:p>
    <w:p w:rsidR="006D4894" w:rsidRDefault="006D4894" w:rsidP="006D4894">
      <w:pPr>
        <w:rPr>
          <w:sz w:val="24"/>
          <w:szCs w:val="24"/>
        </w:rPr>
      </w:pPr>
      <w:r>
        <w:rPr>
          <w:sz w:val="24"/>
          <w:szCs w:val="24"/>
        </w:rPr>
        <w:t>Dobrovičova 12</w:t>
      </w:r>
    </w:p>
    <w:p w:rsidR="006D4894" w:rsidRDefault="006D4894" w:rsidP="006D4894">
      <w:pPr>
        <w:rPr>
          <w:sz w:val="24"/>
          <w:szCs w:val="24"/>
        </w:rPr>
      </w:pPr>
      <w:r>
        <w:rPr>
          <w:sz w:val="24"/>
          <w:szCs w:val="24"/>
        </w:rPr>
        <w:t>Bratislava 815 26</w:t>
      </w:r>
    </w:p>
    <w:p w:rsidR="006D4894" w:rsidRDefault="006D4894" w:rsidP="006D4894">
      <w:pPr>
        <w:rPr>
          <w:sz w:val="24"/>
          <w:szCs w:val="24"/>
        </w:rPr>
      </w:pPr>
      <w:r>
        <w:rPr>
          <w:sz w:val="24"/>
          <w:szCs w:val="24"/>
        </w:rPr>
        <w:t>Slovenská republika</w:t>
      </w:r>
    </w:p>
    <w:p w:rsidR="006D4894" w:rsidRDefault="006D4894" w:rsidP="006D4894">
      <w:pPr>
        <w:rPr>
          <w:sz w:val="24"/>
          <w:szCs w:val="24"/>
        </w:rPr>
      </w:pPr>
      <w:r>
        <w:rPr>
          <w:sz w:val="24"/>
          <w:szCs w:val="24"/>
        </w:rPr>
        <w:t>Tel : + 421 2 59 266 111</w:t>
      </w:r>
    </w:p>
    <w:p w:rsidR="006D4894" w:rsidRDefault="00E7523A" w:rsidP="006D4894">
      <w:pPr>
        <w:rPr>
          <w:sz w:val="24"/>
          <w:szCs w:val="24"/>
        </w:rPr>
      </w:pPr>
      <w:r>
        <w:rPr>
          <w:sz w:val="24"/>
          <w:szCs w:val="24"/>
        </w:rPr>
        <w:t>Webové sídlo</w:t>
      </w:r>
      <w:r w:rsidR="006D4894">
        <w:rPr>
          <w:b/>
          <w:bCs/>
          <w:sz w:val="24"/>
          <w:szCs w:val="24"/>
        </w:rPr>
        <w:t xml:space="preserve">: </w:t>
      </w:r>
      <w:hyperlink r:id="rId9" w:history="1">
        <w:r w:rsidR="006D4894" w:rsidRPr="009A2960">
          <w:rPr>
            <w:rStyle w:val="Hypertextovprepojenie"/>
            <w:sz w:val="24"/>
            <w:szCs w:val="24"/>
          </w:rPr>
          <w:t>http://www.apa.sk</w:t>
        </w:r>
      </w:hyperlink>
    </w:p>
    <w:p w:rsidR="00E866E3" w:rsidRPr="00902823" w:rsidRDefault="00E866E3" w:rsidP="00194A63">
      <w:pPr>
        <w:rPr>
          <w:noProof/>
          <w:sz w:val="24"/>
          <w:szCs w:val="24"/>
        </w:rPr>
      </w:pPr>
    </w:p>
    <w:p w:rsidR="003A208E" w:rsidRDefault="003A208E" w:rsidP="003A208E">
      <w:pPr>
        <w:pStyle w:val="Zkladntext21"/>
      </w:pPr>
      <w:r>
        <w:t>P</w:t>
      </w:r>
      <w:r w:rsidR="000A566E">
        <w:t xml:space="preserve">PA </w:t>
      </w:r>
      <w:r>
        <w:t>je rozpočtovou organizáciou ministerstva, ktorá vznikla 1. decembra 2003 na základe zákona č. 473/2003 Z. z. o Pôdohospodárskej platobnej agentúre, o podpore podnikania v pôdohospodárstve a o zmene a doplnení niektorých zákonov. Zabezpečuje administráciu podporných mechanizmov v sektore pôdohospodárstva.</w:t>
      </w:r>
    </w:p>
    <w:p w:rsidR="00AD5F5D" w:rsidRDefault="00AD5F5D" w:rsidP="00CE73B1">
      <w:pPr>
        <w:pStyle w:val="Zkladntext2"/>
        <w:spacing w:line="264" w:lineRule="auto"/>
      </w:pPr>
    </w:p>
    <w:p w:rsidR="00993A5B" w:rsidRPr="00993A5B" w:rsidRDefault="00993A5B" w:rsidP="00EF5C58">
      <w:pPr>
        <w:pStyle w:val="Nadpis4"/>
        <w:numPr>
          <w:ilvl w:val="0"/>
          <w:numId w:val="24"/>
        </w:numPr>
        <w:rPr>
          <w:b/>
          <w:bCs/>
        </w:rPr>
      </w:pPr>
      <w:r w:rsidRPr="00993A5B">
        <w:rPr>
          <w:b/>
          <w:bCs/>
        </w:rPr>
        <w:t>Konečný prijímateľ (oprávnený žiadateľ)</w:t>
      </w:r>
      <w:r w:rsidR="007F76DF">
        <w:rPr>
          <w:b/>
          <w:bCs/>
        </w:rPr>
        <w:t xml:space="preserve"> pre časť A</w:t>
      </w:r>
    </w:p>
    <w:p w:rsidR="00816AB6" w:rsidRPr="00CF06D8" w:rsidRDefault="00816AB6" w:rsidP="00816AB6">
      <w:pPr>
        <w:pStyle w:val="Zkladntext2"/>
      </w:pPr>
      <w:r w:rsidRPr="00CF06D8">
        <w:t>Fyzické osoby oprávnené na podnikanie v oblasti cestovného ruchu, v prípade žiadateľov podnikajúcich aj v oblasti poľnohospodárstva ich podiel ročných tržieb/príjmov z poľnohospodárskej prvovýroby na celkových tržbách/príjmoch musí byť nižší ako 30 %.</w:t>
      </w:r>
      <w:r w:rsidR="00084023">
        <w:t xml:space="preserve"> </w:t>
      </w:r>
    </w:p>
    <w:p w:rsidR="00816AB6" w:rsidRPr="00CF06D8" w:rsidRDefault="00816AB6" w:rsidP="00083AA5">
      <w:pPr>
        <w:pStyle w:val="Zkladntext2"/>
        <w:widowControl w:val="0"/>
      </w:pPr>
      <w:r w:rsidRPr="00CF06D8">
        <w:t>Ak</w:t>
      </w:r>
      <w:r w:rsidR="00155BDC">
        <w:t xml:space="preserve"> </w:t>
      </w:r>
      <w:r>
        <w:t>konečný prijímateľ – predkladateľ projektu</w:t>
      </w:r>
      <w:r w:rsidR="00155BDC">
        <w:t xml:space="preserve"> </w:t>
      </w:r>
      <w:r w:rsidRPr="00CF06D8">
        <w:t>vykazuje podiel tržieb/príjmov z poľnohospodárskej prvovýroby nižší ako 30 %, ale investícia zahŕňa viac ako 10 lôžok, môže o podporu požiadať z</w:t>
      </w:r>
      <w:r>
        <w:t> Operačného programu</w:t>
      </w:r>
      <w:r w:rsidRPr="00CF06D8">
        <w:t xml:space="preserve"> </w:t>
      </w:r>
      <w:r>
        <w:t xml:space="preserve">Konkurencieschopnosť </w:t>
      </w:r>
      <w:r w:rsidRPr="00CF06D8">
        <w:t>a</w:t>
      </w:r>
      <w:r>
        <w:t> hospodársky rast</w:t>
      </w:r>
      <w:r w:rsidRPr="00CF06D8">
        <w:t>, ktorý je v gescii M</w:t>
      </w:r>
      <w:r>
        <w:t>inisterstva hospodárstva</w:t>
      </w:r>
      <w:r w:rsidRPr="00CF06D8">
        <w:t xml:space="preserve"> SR.</w:t>
      </w:r>
    </w:p>
    <w:p w:rsidR="00816AB6" w:rsidRPr="00B230A0" w:rsidRDefault="00816AB6" w:rsidP="00083AA5">
      <w:pPr>
        <w:widowControl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sz w:val="24"/>
          <w:szCs w:val="24"/>
        </w:rPr>
      </w:pPr>
      <w:r w:rsidRPr="00B230A0">
        <w:rPr>
          <w:sz w:val="24"/>
          <w:szCs w:val="24"/>
        </w:rPr>
        <w:t xml:space="preserve">Koneční prijímatelia – predkladatelia projektu  sú definovaní vo </w:t>
      </w:r>
      <w:r w:rsidR="00B230A0" w:rsidRPr="00B230A0">
        <w:rPr>
          <w:sz w:val="24"/>
          <w:szCs w:val="24"/>
        </w:rPr>
        <w:t>Výzve na predkladanie Žiadosti o nenávratný finančný príspevok z Programu rozvoja vidieka SR 2007 -2013 (projekt) v rámci implementácie Integrovanej stratégie rozvoja územia (ďalej len „Výzva na implementáciu stratégie“)</w:t>
      </w:r>
      <w:r w:rsidRPr="00B230A0">
        <w:rPr>
          <w:sz w:val="24"/>
          <w:szCs w:val="24"/>
        </w:rPr>
        <w:t>,</w:t>
      </w:r>
      <w:r w:rsidR="00B230A0">
        <w:rPr>
          <w:sz w:val="24"/>
          <w:szCs w:val="24"/>
        </w:rPr>
        <w:t xml:space="preserve"> </w:t>
      </w:r>
      <w:r w:rsidRPr="00B230A0">
        <w:rPr>
          <w:sz w:val="24"/>
          <w:szCs w:val="24"/>
        </w:rPr>
        <w:t xml:space="preserve">ktorú zverejní príslušná </w:t>
      </w:r>
      <w:r w:rsidR="00184561">
        <w:rPr>
          <w:sz w:val="24"/>
          <w:szCs w:val="24"/>
        </w:rPr>
        <w:t>m</w:t>
      </w:r>
      <w:r w:rsidRPr="00B230A0">
        <w:rPr>
          <w:sz w:val="24"/>
          <w:szCs w:val="24"/>
        </w:rPr>
        <w:t>iestna akčná skupina (ďalej len „MAS“)  a to v súlade s Integrovanou stratégiou rozvoja územia (ďalej len „</w:t>
      </w:r>
      <w:r w:rsidR="00BD0E8C">
        <w:rPr>
          <w:sz w:val="24"/>
          <w:szCs w:val="24"/>
        </w:rPr>
        <w:t>stratégia</w:t>
      </w:r>
      <w:r w:rsidRPr="00B230A0">
        <w:rPr>
          <w:sz w:val="24"/>
          <w:szCs w:val="24"/>
        </w:rPr>
        <w:t>“)</w:t>
      </w:r>
      <w:r w:rsidRPr="00B230A0">
        <w:rPr>
          <w:rStyle w:val="Odkaznapoznmkupodiarou"/>
          <w:sz w:val="24"/>
          <w:szCs w:val="24"/>
        </w:rPr>
        <w:footnoteReference w:id="1"/>
      </w:r>
      <w:r w:rsidR="00BD0E8C">
        <w:rPr>
          <w:sz w:val="24"/>
          <w:szCs w:val="24"/>
        </w:rPr>
        <w:t>.</w:t>
      </w:r>
      <w:r w:rsidRPr="00B230A0">
        <w:rPr>
          <w:sz w:val="24"/>
          <w:szCs w:val="24"/>
        </w:rPr>
        <w:t xml:space="preserve"> </w:t>
      </w:r>
    </w:p>
    <w:p w:rsidR="00BD0445" w:rsidRDefault="00BD0445" w:rsidP="00C817D3"/>
    <w:p w:rsidR="009C2F3B" w:rsidRPr="009C2F3B" w:rsidRDefault="009C2F3B" w:rsidP="009C2F3B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455F0F">
        <w:rPr>
          <w:sz w:val="24"/>
          <w:szCs w:val="24"/>
          <w:lang w:eastAsia="sk-SK"/>
        </w:rPr>
        <w:t xml:space="preserve">Pre účely začlenenia do kategórie </w:t>
      </w:r>
      <w:r w:rsidRPr="00455F0F">
        <w:rPr>
          <w:b/>
          <w:bCs/>
          <w:sz w:val="24"/>
          <w:szCs w:val="24"/>
          <w:lang w:eastAsia="sk-SK"/>
        </w:rPr>
        <w:t xml:space="preserve">mikro, malých alebo stredných podnikov žiadateľ postupuje podľa </w:t>
      </w:r>
      <w:r w:rsidRPr="00455F0F">
        <w:rPr>
          <w:bCs/>
          <w:sz w:val="24"/>
          <w:szCs w:val="24"/>
          <w:lang w:eastAsia="sk-SK"/>
        </w:rPr>
        <w:t>p</w:t>
      </w:r>
      <w:r w:rsidRPr="00455F0F">
        <w:rPr>
          <w:sz w:val="24"/>
          <w:szCs w:val="24"/>
          <w:lang w:eastAsia="sk-SK"/>
        </w:rPr>
        <w:t>rílohy I nariadenia Komisie (ES) č</w:t>
      </w:r>
      <w:r w:rsidR="00CC3C72" w:rsidRPr="00455F0F">
        <w:rPr>
          <w:sz w:val="24"/>
          <w:szCs w:val="24"/>
          <w:lang w:eastAsia="sk-SK"/>
        </w:rPr>
        <w:t>. 800/2008</w:t>
      </w:r>
      <w:r w:rsidR="009E0F9B">
        <w:rPr>
          <w:sz w:val="24"/>
          <w:szCs w:val="24"/>
          <w:lang w:eastAsia="sk-SK"/>
        </w:rPr>
        <w:t xml:space="preserve"> zo 6. augusta 2008 o vyhlásení určitých kategórií pomoci za zlučiteľné so spoločným trhom podľa článkov 87 a 88 zmluvy (Všeobecné nariadenie o skupinových výnimkách), (ďalej len „nariadenie Komisie (ES) č. 800/2008“). Príloha I nariadenia Komisie (ES) č. 800/2008 tvorí prílohu k tejto schéme.</w:t>
      </w:r>
      <w:r w:rsidR="009C09AD">
        <w:rPr>
          <w:sz w:val="24"/>
          <w:szCs w:val="24"/>
          <w:lang w:eastAsia="sk-SK"/>
        </w:rPr>
        <w:t xml:space="preserve"> </w:t>
      </w:r>
    </w:p>
    <w:p w:rsidR="009C2F3B" w:rsidRPr="009C2F3B" w:rsidRDefault="009C2F3B" w:rsidP="00C817D3">
      <w:pPr>
        <w:rPr>
          <w:sz w:val="24"/>
          <w:szCs w:val="24"/>
        </w:rPr>
      </w:pPr>
    </w:p>
    <w:p w:rsidR="00155BDC" w:rsidRDefault="00155BDC" w:rsidP="00155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Oprávneným konečným prijímateľom – predkladateľom projektu nie je podnik, ktorý je podnikom </w:t>
      </w:r>
      <w:r w:rsidRPr="000D6572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0D6572">
        <w:rPr>
          <w:sz w:val="24"/>
          <w:szCs w:val="24"/>
        </w:rPr>
        <w:t xml:space="preserve">ťažkostiach v zmysle článku </w:t>
      </w:r>
      <w:r>
        <w:rPr>
          <w:sz w:val="24"/>
          <w:szCs w:val="24"/>
        </w:rPr>
        <w:t xml:space="preserve">2.1, bodu 10 Usmernenia Spoločenstva o štátnej pomoci na záchranu a reštrukturalizáciu firiem v ťažkostiach (Ú. V. C 244 z 1. 10. 2004, str. 2). </w:t>
      </w:r>
    </w:p>
    <w:p w:rsidR="00184561" w:rsidRDefault="00184561" w:rsidP="009177C2">
      <w:pPr>
        <w:jc w:val="both"/>
        <w:rPr>
          <w:sz w:val="24"/>
          <w:szCs w:val="24"/>
        </w:rPr>
      </w:pPr>
    </w:p>
    <w:p w:rsidR="00184561" w:rsidRDefault="00184561" w:rsidP="00184561">
      <w:pPr>
        <w:jc w:val="both"/>
        <w:rPr>
          <w:sz w:val="24"/>
          <w:szCs w:val="24"/>
        </w:rPr>
      </w:pPr>
      <w:r>
        <w:rPr>
          <w:sz w:val="24"/>
          <w:szCs w:val="24"/>
        </w:rPr>
        <w:t>Neoprávneným konečným prijímateľom – predkladateľom</w:t>
      </w:r>
      <w:r w:rsidRPr="00B230A0">
        <w:rPr>
          <w:sz w:val="24"/>
          <w:szCs w:val="24"/>
        </w:rPr>
        <w:t xml:space="preserve"> projektu  </w:t>
      </w:r>
      <w:r>
        <w:rPr>
          <w:sz w:val="24"/>
          <w:szCs w:val="24"/>
        </w:rPr>
        <w:t>minimálnej pomoci je podnik, ktorý žiada o:</w:t>
      </w:r>
    </w:p>
    <w:p w:rsidR="001B0B7C" w:rsidRDefault="00184561" w:rsidP="001B0B7C">
      <w:pPr>
        <w:numPr>
          <w:ilvl w:val="0"/>
          <w:numId w:val="10"/>
        </w:numPr>
        <w:tabs>
          <w:tab w:val="num" w:pos="540"/>
        </w:tabs>
        <w:ind w:left="538" w:hanging="357"/>
        <w:jc w:val="both"/>
        <w:rPr>
          <w:sz w:val="24"/>
          <w:szCs w:val="24"/>
        </w:rPr>
      </w:pPr>
      <w:r w:rsidRPr="001B0B7C">
        <w:rPr>
          <w:sz w:val="24"/>
          <w:szCs w:val="24"/>
        </w:rPr>
        <w:t>pomoc poskytnutú podnikom pôsobiacim v sektore rybolovu a akvakultúry, ako je stanovené v nariadení Rady (ES) č. 104/2000 (Ú. v. ES L 17, 21. 1. 2000, s. 22),</w:t>
      </w:r>
    </w:p>
    <w:p w:rsidR="00184561" w:rsidRPr="001B0B7C" w:rsidRDefault="00184561" w:rsidP="001B0B7C">
      <w:pPr>
        <w:numPr>
          <w:ilvl w:val="0"/>
          <w:numId w:val="10"/>
        </w:numPr>
        <w:tabs>
          <w:tab w:val="num" w:pos="540"/>
        </w:tabs>
        <w:ind w:left="538" w:hanging="357"/>
        <w:jc w:val="both"/>
        <w:rPr>
          <w:sz w:val="24"/>
          <w:szCs w:val="24"/>
        </w:rPr>
      </w:pPr>
      <w:r w:rsidRPr="001B0B7C">
        <w:rPr>
          <w:sz w:val="24"/>
          <w:szCs w:val="24"/>
        </w:rPr>
        <w:t>pomoc poskytnutú podnikom pôsobiacim v oblasti prvovýroby poľnohospodárskych produktov vymenovaných v prílohe I k zmluve,</w:t>
      </w:r>
    </w:p>
    <w:p w:rsidR="00184561" w:rsidRDefault="00184561" w:rsidP="001B0B7C">
      <w:pPr>
        <w:numPr>
          <w:ilvl w:val="0"/>
          <w:numId w:val="10"/>
        </w:numPr>
        <w:ind w:left="538" w:hanging="357"/>
        <w:jc w:val="both"/>
        <w:rPr>
          <w:sz w:val="24"/>
          <w:szCs w:val="24"/>
        </w:rPr>
      </w:pPr>
      <w:r>
        <w:rPr>
          <w:sz w:val="24"/>
          <w:szCs w:val="24"/>
        </w:rPr>
        <w:t>pomoc poskytnutú podnikom pôsobiacom v oblasti spracovania odbytu poľnohospodárskych produktov vymenovaných v prílohe I k zmluve,</w:t>
      </w:r>
    </w:p>
    <w:p w:rsidR="00184561" w:rsidRDefault="00184561" w:rsidP="00184561">
      <w:pPr>
        <w:tabs>
          <w:tab w:val="left" w:pos="540"/>
        </w:tabs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4561" w:rsidRDefault="00184561" w:rsidP="00455F0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ktorej výška je stanovená na základe ceny alebo množstva kúpených produktov od prvovýrobcu alebo produktov uvedených na trh príslušným podnikom,</w:t>
      </w:r>
    </w:p>
    <w:p w:rsidR="00184561" w:rsidRDefault="00184561" w:rsidP="00455F0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keď pomoc je podmienená tým, že je čiastočne alebo úplne postúpená prvovýrobcom,</w:t>
      </w:r>
    </w:p>
    <w:p w:rsidR="00184561" w:rsidRDefault="00184561" w:rsidP="00184561">
      <w:pPr>
        <w:tabs>
          <w:tab w:val="num" w:pos="540"/>
        </w:tabs>
        <w:ind w:left="900" w:hanging="360"/>
        <w:jc w:val="both"/>
        <w:rPr>
          <w:sz w:val="24"/>
          <w:szCs w:val="24"/>
        </w:rPr>
      </w:pPr>
    </w:p>
    <w:p w:rsidR="00184561" w:rsidRPr="000E2928" w:rsidRDefault="00184561" w:rsidP="001B0B7C">
      <w:pPr>
        <w:numPr>
          <w:ilvl w:val="0"/>
          <w:numId w:val="10"/>
        </w:numPr>
        <w:ind w:left="538" w:hanging="357"/>
        <w:jc w:val="both"/>
        <w:rPr>
          <w:sz w:val="24"/>
          <w:szCs w:val="24"/>
        </w:rPr>
      </w:pPr>
      <w:r w:rsidRPr="000E2928">
        <w:rPr>
          <w:sz w:val="24"/>
          <w:szCs w:val="24"/>
        </w:rPr>
        <w:t>pomoc na činnosti súvisiace s vývozom do tretích krajín alebo členských štátov, konkrétne pomoc priamo súvisiacu s vyvážanými množstvami, na zriadenie a prevádzkovanie distribučnej siete alebo na iné bežné výdavky súvisiace s vývoznou činnosťou,</w:t>
      </w:r>
    </w:p>
    <w:p w:rsidR="00184561" w:rsidRPr="000E2928" w:rsidRDefault="00184561" w:rsidP="001B0B7C">
      <w:pPr>
        <w:numPr>
          <w:ilvl w:val="0"/>
          <w:numId w:val="10"/>
        </w:numPr>
        <w:ind w:left="538" w:hanging="357"/>
        <w:jc w:val="both"/>
        <w:rPr>
          <w:sz w:val="24"/>
          <w:szCs w:val="24"/>
        </w:rPr>
      </w:pPr>
      <w:r w:rsidRPr="000E2928">
        <w:rPr>
          <w:sz w:val="24"/>
          <w:szCs w:val="24"/>
        </w:rPr>
        <w:t>pomoc, ktorá je podmienená uprednostňovaním používania domácich tovarov pred dovezen</w:t>
      </w:r>
      <w:r w:rsidR="00D03077">
        <w:rPr>
          <w:sz w:val="24"/>
          <w:szCs w:val="24"/>
        </w:rPr>
        <w:t>ý</w:t>
      </w:r>
      <w:r w:rsidRPr="000E2928">
        <w:rPr>
          <w:sz w:val="24"/>
          <w:szCs w:val="24"/>
        </w:rPr>
        <w:t>m</w:t>
      </w:r>
      <w:r w:rsidR="00D03077">
        <w:rPr>
          <w:sz w:val="24"/>
          <w:szCs w:val="24"/>
        </w:rPr>
        <w:t>i</w:t>
      </w:r>
      <w:r w:rsidRPr="000E2928">
        <w:rPr>
          <w:sz w:val="24"/>
          <w:szCs w:val="24"/>
        </w:rPr>
        <w:t>,</w:t>
      </w:r>
    </w:p>
    <w:p w:rsidR="00184561" w:rsidRPr="000E2928" w:rsidRDefault="001B0B7C" w:rsidP="001B0B7C">
      <w:pPr>
        <w:numPr>
          <w:ilvl w:val="0"/>
          <w:numId w:val="10"/>
        </w:numPr>
        <w:ind w:left="538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4561" w:rsidRPr="000E2928">
        <w:rPr>
          <w:sz w:val="24"/>
          <w:szCs w:val="24"/>
        </w:rPr>
        <w:t>pomoc poskytnut</w:t>
      </w:r>
      <w:r w:rsidR="00184561">
        <w:rPr>
          <w:sz w:val="24"/>
          <w:szCs w:val="24"/>
        </w:rPr>
        <w:t>ú</w:t>
      </w:r>
      <w:r w:rsidR="00184561" w:rsidRPr="000E2928">
        <w:rPr>
          <w:sz w:val="24"/>
          <w:szCs w:val="24"/>
        </w:rPr>
        <w:t xml:space="preserve"> podnikom pôsobiacim v uhoľnom sektore, ako je uvedené v nariadení (ES) č. 1407/2002,</w:t>
      </w:r>
    </w:p>
    <w:p w:rsidR="00971683" w:rsidRDefault="00184561" w:rsidP="001B0B7C">
      <w:pPr>
        <w:numPr>
          <w:ilvl w:val="0"/>
          <w:numId w:val="10"/>
        </w:numPr>
        <w:ind w:left="538" w:hanging="357"/>
        <w:jc w:val="both"/>
        <w:rPr>
          <w:sz w:val="24"/>
          <w:szCs w:val="24"/>
        </w:rPr>
      </w:pPr>
      <w:r w:rsidRPr="000E2928">
        <w:rPr>
          <w:sz w:val="24"/>
          <w:szCs w:val="24"/>
        </w:rPr>
        <w:t>pomoc na vozidlá cestnej nákladnej dopravy udelenej podnikom, ktoré vykonávajú cestnú nákladnú dopravu v prenájme alebo za úhradu</w:t>
      </w:r>
    </w:p>
    <w:p w:rsidR="009177C2" w:rsidRDefault="009177C2" w:rsidP="00C817D3"/>
    <w:p w:rsidR="008E7EB7" w:rsidRDefault="00C15B2C" w:rsidP="00EF5C58">
      <w:pPr>
        <w:pStyle w:val="Nadpis4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Oprávnené </w:t>
      </w:r>
      <w:r w:rsidR="00956200">
        <w:rPr>
          <w:b/>
          <w:bCs/>
        </w:rPr>
        <w:t>výdavky</w:t>
      </w:r>
    </w:p>
    <w:p w:rsidR="0068091B" w:rsidRPr="0068091B" w:rsidRDefault="0068091B" w:rsidP="0068091B">
      <w:pPr>
        <w:rPr>
          <w:b/>
          <w:bCs/>
          <w:sz w:val="24"/>
          <w:szCs w:val="24"/>
        </w:rPr>
      </w:pPr>
      <w:r w:rsidRPr="0068091B">
        <w:rPr>
          <w:b/>
          <w:bCs/>
          <w:sz w:val="24"/>
          <w:szCs w:val="24"/>
        </w:rPr>
        <w:t xml:space="preserve">Oprávnené výdavky pre časť A </w:t>
      </w:r>
      <w:r w:rsidRPr="0068091B">
        <w:rPr>
          <w:sz w:val="24"/>
          <w:szCs w:val="24"/>
        </w:rPr>
        <w:t>(s výnimkou obmedzení citovaných v rámci neoprávnených výdavkov pre časť A)</w:t>
      </w:r>
    </w:p>
    <w:p w:rsidR="0068091B" w:rsidRPr="0068091B" w:rsidRDefault="0068091B" w:rsidP="00455F0F">
      <w:pPr>
        <w:pStyle w:val="Zkladntext2"/>
        <w:numPr>
          <w:ilvl w:val="0"/>
          <w:numId w:val="19"/>
        </w:numPr>
        <w:tabs>
          <w:tab w:val="clear" w:pos="360"/>
        </w:tabs>
      </w:pPr>
      <w:r w:rsidRPr="0068091B">
        <w:t>investície do dlhodobého hmotného majetku;</w:t>
      </w:r>
    </w:p>
    <w:p w:rsidR="0068091B" w:rsidRPr="0068091B" w:rsidRDefault="0068091B" w:rsidP="00455F0F">
      <w:pPr>
        <w:pStyle w:val="Zkladntext2"/>
        <w:numPr>
          <w:ilvl w:val="0"/>
          <w:numId w:val="19"/>
        </w:numPr>
        <w:tabs>
          <w:tab w:val="clear" w:pos="360"/>
        </w:tabs>
      </w:pPr>
      <w:r w:rsidRPr="0068091B">
        <w:t>investície do dlhodobého nehmotného majetku;</w:t>
      </w:r>
    </w:p>
    <w:p w:rsidR="0068091B" w:rsidRPr="0068091B" w:rsidRDefault="0068091B" w:rsidP="00455F0F">
      <w:pPr>
        <w:pStyle w:val="Zkladntext2"/>
        <w:numPr>
          <w:ilvl w:val="0"/>
          <w:numId w:val="19"/>
        </w:numPr>
        <w:tabs>
          <w:tab w:val="clear" w:pos="360"/>
        </w:tabs>
      </w:pPr>
      <w:r w:rsidRPr="0068091B">
        <w:t xml:space="preserve">vlastná práca (iba mzdy vrátane odvodov).  </w:t>
      </w:r>
    </w:p>
    <w:p w:rsidR="00C15B2C" w:rsidRPr="00C15B2C" w:rsidRDefault="00C15B2C" w:rsidP="00C15B2C"/>
    <w:p w:rsidR="00F30C65" w:rsidRPr="00EF5C58" w:rsidRDefault="00DA5C23" w:rsidP="00EF5C58">
      <w:pPr>
        <w:numPr>
          <w:ilvl w:val="0"/>
          <w:numId w:val="24"/>
        </w:numPr>
        <w:rPr>
          <w:b/>
          <w:sz w:val="24"/>
          <w:szCs w:val="24"/>
        </w:rPr>
      </w:pPr>
      <w:r w:rsidRPr="00EF5C58">
        <w:rPr>
          <w:b/>
          <w:sz w:val="24"/>
          <w:szCs w:val="24"/>
        </w:rPr>
        <w:t xml:space="preserve">Neoprávnené </w:t>
      </w:r>
      <w:r w:rsidR="00956200" w:rsidRPr="00EF5C58">
        <w:rPr>
          <w:b/>
          <w:sz w:val="24"/>
          <w:szCs w:val="24"/>
        </w:rPr>
        <w:t>výdavky</w:t>
      </w:r>
      <w:r w:rsidR="0087113A" w:rsidRPr="00EF5C58">
        <w:rPr>
          <w:b/>
          <w:sz w:val="24"/>
          <w:szCs w:val="24"/>
        </w:rPr>
        <w:t xml:space="preserve"> pre časť A</w:t>
      </w:r>
    </w:p>
    <w:p w:rsidR="00660D09" w:rsidRPr="00F33B4C" w:rsidRDefault="00660D09" w:rsidP="00455F0F">
      <w:pPr>
        <w:pStyle w:val="mojNORMALNY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3B4C">
        <w:rPr>
          <w:rFonts w:ascii="Times New Roman" w:hAnsi="Times New Roman" w:cs="Times New Roman"/>
          <w:sz w:val="24"/>
          <w:szCs w:val="24"/>
        </w:rPr>
        <w:t>výdavky vynaložené pred udelením Štatútu  MAS (výdavky, dodacie listy a preberacie protokoly pred udelením Štatútu MAS), evidencia začatia stavebných prác v stavebnom denníku pred udelením Štatútu MAS);</w:t>
      </w:r>
    </w:p>
    <w:p w:rsidR="00660D09" w:rsidRPr="00F33B4C" w:rsidRDefault="00660D09" w:rsidP="00455F0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33B4C">
        <w:rPr>
          <w:sz w:val="24"/>
          <w:szCs w:val="24"/>
        </w:rPr>
        <w:t xml:space="preserve">nákup použitého majetku; 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nákup karavanov a dopravných prostriedkov;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nákup nehnuteľností;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refundovateľné, refundované alebo inak preplatené dane, clá, dovozné prirážky a kurzové straty;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daň z pridanej hodnoty okrem prípadov uvedených v bode 3a) článku 71 nariadenia Rady (ES) č. 1698/2005, t. j. s výnimkou nenávratnej DPH, ak ju znáša zdaniteľná osoba;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prevádzkové výdavky (napr. výdavky na opravy a údržbu);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vlastná práca vyjadrená peňažnou hodnotou nad 30 % z ceny materiálu zakúpeného a použitého na oprávnenú investíciu realizovanú vlastnou prácou;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bankové poplatky, úroky z dlhu, výdavky na záruku a podobné poplatky;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lízingové poplatky a koeficient navýšenia;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nájomné poplatky;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výdavky vynaložené v hotovosti s výnimkou vlastnej práce;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poradenské a konzultačné služby;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 xml:space="preserve">projektová dokumentácia; 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pri kempingovom ubytovaní výdavky na výstavbu, rekonštrukciu a modernizáciu   chatiek;</w:t>
      </w:r>
    </w:p>
    <w:p w:rsidR="00660D09" w:rsidRPr="00F33B4C" w:rsidRDefault="00660D09" w:rsidP="00455F0F">
      <w:pPr>
        <w:numPr>
          <w:ilvl w:val="0"/>
          <w:numId w:val="20"/>
        </w:numPr>
        <w:jc w:val="both"/>
        <w:rPr>
          <w:sz w:val="24"/>
          <w:szCs w:val="24"/>
        </w:rPr>
      </w:pPr>
      <w:r w:rsidRPr="00F33B4C">
        <w:rPr>
          <w:sz w:val="24"/>
          <w:szCs w:val="24"/>
        </w:rPr>
        <w:t>výdavky na kúpu a zapožičiavanie športových, rekreačných a relaxačných potrieb.</w:t>
      </w:r>
    </w:p>
    <w:p w:rsidR="0087113A" w:rsidRPr="0087113A" w:rsidRDefault="0087113A" w:rsidP="00DA5C23">
      <w:pPr>
        <w:jc w:val="both"/>
        <w:rPr>
          <w:b/>
          <w:bCs/>
          <w:color w:val="000000"/>
          <w:sz w:val="24"/>
          <w:szCs w:val="24"/>
        </w:rPr>
      </w:pPr>
    </w:p>
    <w:p w:rsidR="008E7EB7" w:rsidRPr="00E222B9" w:rsidRDefault="008E7EB7" w:rsidP="00EF5C58">
      <w:pPr>
        <w:pStyle w:val="Nadpis4"/>
        <w:numPr>
          <w:ilvl w:val="0"/>
          <w:numId w:val="24"/>
        </w:numPr>
        <w:rPr>
          <w:b/>
          <w:bCs/>
        </w:rPr>
      </w:pPr>
      <w:r w:rsidRPr="00E222B9">
        <w:rPr>
          <w:b/>
          <w:bCs/>
        </w:rPr>
        <w:t>Forma</w:t>
      </w:r>
      <w:r w:rsidR="00443B65" w:rsidRPr="00E222B9">
        <w:rPr>
          <w:b/>
          <w:bCs/>
        </w:rPr>
        <w:t xml:space="preserve"> </w:t>
      </w:r>
      <w:r w:rsidRPr="00E222B9">
        <w:rPr>
          <w:b/>
          <w:bCs/>
        </w:rPr>
        <w:t>pomoci</w:t>
      </w:r>
    </w:p>
    <w:p w:rsidR="003A208E" w:rsidRDefault="00333DA4" w:rsidP="003A208E">
      <w:pPr>
        <w:pStyle w:val="Zkladntext21"/>
      </w:pPr>
      <w:r w:rsidRPr="00E222B9">
        <w:t>P</w:t>
      </w:r>
      <w:r w:rsidR="003A208E" w:rsidRPr="00E222B9">
        <w:t>omoc sa môže posky</w:t>
      </w:r>
      <w:r w:rsidR="00A14AE9" w:rsidRPr="00E222B9">
        <w:t xml:space="preserve">tnúť jednorázovo formou </w:t>
      </w:r>
      <w:r w:rsidR="00F6511B" w:rsidRPr="00E222B9">
        <w:t>nenávratného finančného príspevku</w:t>
      </w:r>
      <w:r w:rsidR="00C778A9" w:rsidRPr="00E222B9">
        <w:t xml:space="preserve"> </w:t>
      </w:r>
      <w:r w:rsidR="009907BD" w:rsidRPr="00E222B9">
        <w:t>v</w:t>
      </w:r>
      <w:r w:rsidR="00F6511B" w:rsidRPr="00E222B9">
        <w:t> zmysle opatrenia 3.2 Podpora činností v oblasti vidieckeho cestovného ruchu – časti A</w:t>
      </w:r>
      <w:r w:rsidR="00504418">
        <w:t xml:space="preserve"> implementované prostredníctvom osi 4 Leader.</w:t>
      </w:r>
    </w:p>
    <w:p w:rsidR="00F63BEE" w:rsidRDefault="00F63BEE" w:rsidP="006B24AD">
      <w:pPr>
        <w:tabs>
          <w:tab w:val="left" w:pos="360"/>
        </w:tabs>
        <w:spacing w:line="264" w:lineRule="auto"/>
        <w:jc w:val="both"/>
        <w:rPr>
          <w:sz w:val="24"/>
          <w:szCs w:val="24"/>
        </w:rPr>
      </w:pPr>
    </w:p>
    <w:p w:rsidR="008E7EB7" w:rsidRDefault="008E7EB7" w:rsidP="00EF5C58">
      <w:pPr>
        <w:pStyle w:val="Nadpis4"/>
        <w:numPr>
          <w:ilvl w:val="0"/>
          <w:numId w:val="24"/>
        </w:numPr>
        <w:rPr>
          <w:b/>
          <w:bCs/>
        </w:rPr>
      </w:pPr>
      <w:r w:rsidRPr="0095504D">
        <w:rPr>
          <w:b/>
          <w:bCs/>
        </w:rPr>
        <w:t xml:space="preserve">Výška </w:t>
      </w:r>
      <w:r w:rsidR="00A14AE9">
        <w:rPr>
          <w:b/>
          <w:bCs/>
        </w:rPr>
        <w:t xml:space="preserve">a intenzita </w:t>
      </w:r>
      <w:r w:rsidRPr="0095504D">
        <w:rPr>
          <w:b/>
          <w:bCs/>
        </w:rPr>
        <w:t>pomoci</w:t>
      </w:r>
      <w:r w:rsidR="00436FA6">
        <w:rPr>
          <w:b/>
          <w:bCs/>
        </w:rPr>
        <w:t xml:space="preserve"> pre časť A</w:t>
      </w:r>
      <w:r w:rsidRPr="0095504D">
        <w:rPr>
          <w:b/>
          <w:bCs/>
        </w:rPr>
        <w:t xml:space="preserve"> </w:t>
      </w:r>
    </w:p>
    <w:p w:rsidR="00436FA6" w:rsidRPr="00CF06D8" w:rsidRDefault="00436FA6" w:rsidP="00436FA6">
      <w:pPr>
        <w:pStyle w:val="Zkladntext2"/>
      </w:pPr>
      <w:r w:rsidRPr="00CF06D8">
        <w:t>Maximálna výška pomoci z celkových oprávnených výdavkov:</w:t>
      </w:r>
    </w:p>
    <w:p w:rsidR="00000C90" w:rsidRPr="00CF06D8" w:rsidRDefault="00000C90" w:rsidP="00000C90">
      <w:pPr>
        <w:pStyle w:val="Zkladntext2"/>
        <w:ind w:left="181" w:hanging="181"/>
      </w:pPr>
      <w:r w:rsidRPr="00CF06D8">
        <w:t xml:space="preserve">– </w:t>
      </w:r>
      <w:r w:rsidRPr="00CF06D8">
        <w:rPr>
          <w:b/>
          <w:bCs/>
        </w:rPr>
        <w:t xml:space="preserve">50 % </w:t>
      </w:r>
      <w:r w:rsidRPr="00CF06D8">
        <w:t>(</w:t>
      </w:r>
      <w:r>
        <w:t>40</w:t>
      </w:r>
      <w:r w:rsidRPr="00CF06D8">
        <w:t xml:space="preserve">% EÚ, </w:t>
      </w:r>
      <w:r>
        <w:t>10</w:t>
      </w:r>
      <w:r w:rsidRPr="00CF06D8">
        <w:t xml:space="preserve"> % SR) v oblastiach cieľa Konvergencia, pričom minimálne 50 % predstavujú vlastné zdroje;</w:t>
      </w:r>
    </w:p>
    <w:p w:rsidR="00000C90" w:rsidRDefault="00000C90" w:rsidP="00000C90">
      <w:pPr>
        <w:pStyle w:val="Zkladntext2"/>
        <w:ind w:left="180" w:hanging="180"/>
      </w:pPr>
      <w:r w:rsidRPr="00CF06D8">
        <w:t xml:space="preserve">– </w:t>
      </w:r>
      <w:r w:rsidRPr="00CF06D8">
        <w:rPr>
          <w:b/>
          <w:bCs/>
        </w:rPr>
        <w:t>30 %</w:t>
      </w:r>
      <w:r w:rsidRPr="00CF06D8">
        <w:t xml:space="preserve"> (</w:t>
      </w:r>
      <w:r>
        <w:t xml:space="preserve">16,5 % </w:t>
      </w:r>
      <w:r w:rsidRPr="00CF06D8">
        <w:t xml:space="preserve">EÚ, </w:t>
      </w:r>
      <w:r>
        <w:t>13,5</w:t>
      </w:r>
      <w:r w:rsidRPr="00CF06D8">
        <w:t xml:space="preserve"> % SR) v Ostatných oblastiach, pričom minimálne 70 % predstavujú vlastné zdroje.</w:t>
      </w:r>
    </w:p>
    <w:p w:rsidR="001C1490" w:rsidRDefault="001C1490" w:rsidP="00083AA5">
      <w:pPr>
        <w:pStyle w:val="Zkladntextb"/>
        <w:widowControl w:val="0"/>
      </w:pPr>
      <w:r>
        <w:t xml:space="preserve">Minimálna výška oprávnených výdavkov na 1 projekt je 2 600 EUR a maximálna výška je 200 000 EUR. </w:t>
      </w:r>
      <w:r w:rsidRPr="00C94B7F">
        <w:t xml:space="preserve">Výška oprávnených výdavkov na 1 projekt je uvedená </w:t>
      </w:r>
      <w:r w:rsidR="00083AA5">
        <w:t xml:space="preserve">vo </w:t>
      </w:r>
      <w:r w:rsidRPr="001C1490">
        <w:t>Výzve na implementáciu stratégie,</w:t>
      </w:r>
      <w:r w:rsidRPr="00C94B7F">
        <w:t xml:space="preserve"> ktorú zverejní príslušná MAS</w:t>
      </w:r>
      <w:r w:rsidRPr="00C94B7F">
        <w:rPr>
          <w:rStyle w:val="Odkaznapoznmkupodiarou"/>
          <w:sz w:val="20"/>
          <w:szCs w:val="20"/>
        </w:rPr>
        <w:footnoteReference w:id="2"/>
      </w:r>
      <w:r w:rsidRPr="00C94B7F">
        <w:t>.</w:t>
      </w:r>
      <w:r w:rsidRPr="00436DCA">
        <w:rPr>
          <w:b/>
          <w:bCs/>
        </w:rPr>
        <w:t xml:space="preserve"> </w:t>
      </w:r>
      <w:r>
        <w:t xml:space="preserve"> </w:t>
      </w:r>
    </w:p>
    <w:p w:rsidR="00F70551" w:rsidRDefault="00F70551" w:rsidP="00083AA5">
      <w:pPr>
        <w:pStyle w:val="Zkladntextb"/>
        <w:widowControl w:val="0"/>
      </w:pPr>
    </w:p>
    <w:p w:rsidR="00184561" w:rsidRPr="007A409C" w:rsidRDefault="00184561" w:rsidP="00083AA5">
      <w:pPr>
        <w:widowControl w:val="0"/>
        <w:jc w:val="both"/>
        <w:rPr>
          <w:sz w:val="24"/>
          <w:szCs w:val="24"/>
        </w:rPr>
      </w:pPr>
      <w:r w:rsidRPr="007A409C">
        <w:rPr>
          <w:sz w:val="24"/>
          <w:szCs w:val="24"/>
        </w:rPr>
        <w:t>Celková výška minimálnej pomoci jednému prijímateľovi nesmie presiahnuť 200 000 EUR v priebehu akéhokoľvek obdobia troch fiškálnych rokov.</w:t>
      </w:r>
    </w:p>
    <w:p w:rsidR="00436FA6" w:rsidRPr="00CF06D8" w:rsidRDefault="00436FA6" w:rsidP="00436FA6">
      <w:pPr>
        <w:pStyle w:val="Zkladntextb"/>
      </w:pPr>
    </w:p>
    <w:p w:rsidR="008E7EB7" w:rsidRDefault="008E7EB7" w:rsidP="00EF5C58">
      <w:pPr>
        <w:pStyle w:val="Nadpis6"/>
        <w:numPr>
          <w:ilvl w:val="0"/>
          <w:numId w:val="24"/>
        </w:numPr>
        <w:spacing w:line="264" w:lineRule="auto"/>
      </w:pPr>
      <w:r w:rsidRPr="0095504D">
        <w:t xml:space="preserve">Podmienky poskytnutia </w:t>
      </w:r>
      <w:r w:rsidR="00274EF9">
        <w:t>pomoci</w:t>
      </w:r>
    </w:p>
    <w:p w:rsidR="00F156EE" w:rsidRDefault="00F156EE" w:rsidP="00D117AA">
      <w:pPr>
        <w:tabs>
          <w:tab w:val="left" w:pos="4678"/>
        </w:tabs>
        <w:jc w:val="both"/>
        <w:rPr>
          <w:sz w:val="24"/>
          <w:szCs w:val="24"/>
          <w:lang w:eastAsia="en-US"/>
        </w:rPr>
      </w:pPr>
      <w:r w:rsidRPr="00F156EE">
        <w:rPr>
          <w:sz w:val="24"/>
          <w:szCs w:val="24"/>
          <w:lang w:eastAsia="en-US"/>
        </w:rPr>
        <w:t>Oprávnenosť projektov na financovanie z</w:t>
      </w:r>
      <w:r w:rsidR="00155BDC">
        <w:rPr>
          <w:sz w:val="24"/>
          <w:szCs w:val="24"/>
          <w:lang w:eastAsia="en-US"/>
        </w:rPr>
        <w:t> </w:t>
      </w:r>
      <w:r w:rsidRPr="00F156EE">
        <w:rPr>
          <w:sz w:val="24"/>
          <w:szCs w:val="24"/>
          <w:lang w:eastAsia="en-US"/>
        </w:rPr>
        <w:t>PRV</w:t>
      </w:r>
      <w:r w:rsidR="00155BDC">
        <w:rPr>
          <w:sz w:val="24"/>
          <w:szCs w:val="24"/>
          <w:lang w:eastAsia="en-US"/>
        </w:rPr>
        <w:t xml:space="preserve"> </w:t>
      </w:r>
      <w:r w:rsidRPr="00F156EE">
        <w:rPr>
          <w:sz w:val="24"/>
          <w:szCs w:val="24"/>
          <w:lang w:eastAsia="en-US"/>
        </w:rPr>
        <w:t xml:space="preserve">je podmienená splnením všetkých kritérií spôsobilosti stanovených pre toto opatrenie v Usmernení pre administráciu osi 4 Leader </w:t>
      </w:r>
      <w:r w:rsidR="003E32C6">
        <w:rPr>
          <w:sz w:val="24"/>
          <w:szCs w:val="24"/>
        </w:rPr>
        <w:t>v platnom znení</w:t>
      </w:r>
      <w:r w:rsidRPr="00F156EE">
        <w:rPr>
          <w:sz w:val="24"/>
          <w:szCs w:val="24"/>
          <w:lang w:eastAsia="en-US"/>
        </w:rPr>
        <w:t>, kapitola 5. Implementácia integrovaných stratégií rozvoja územia a prílohe č.6 Charakteristika priorít a opatrení osi 3, ktoré sú implementované prostredníctvom osi 4 a kritérií spôsobilosti, ktoré si stanovila MAS v stratégií.</w:t>
      </w:r>
    </w:p>
    <w:p w:rsidR="007068C0" w:rsidRPr="00F156EE" w:rsidRDefault="007068C0" w:rsidP="00D117AA">
      <w:pPr>
        <w:tabs>
          <w:tab w:val="left" w:pos="4678"/>
        </w:tabs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V súlade s čl. 3 ods. 1 nariadenia 1998/2006 o uplatňovaní článkov 87 a 88 zmluvy na pomoc de minimis je podmienkou poskytnutia pomoci predloženie čestného vyhlásenia o celkovej minimálnej pomoci</w:t>
      </w:r>
      <w:r w:rsidR="009812C2">
        <w:rPr>
          <w:sz w:val="24"/>
          <w:szCs w:val="24"/>
          <w:lang w:eastAsia="en-US"/>
        </w:rPr>
        <w:t xml:space="preserve"> prijatej konečným prijímateľom</w:t>
      </w:r>
      <w:r w:rsidR="00C15AFA">
        <w:rPr>
          <w:sz w:val="24"/>
          <w:szCs w:val="24"/>
          <w:lang w:eastAsia="en-US"/>
        </w:rPr>
        <w:t xml:space="preserve"> – predkladateľom projektu</w:t>
      </w:r>
      <w:r w:rsidR="009812C2">
        <w:rPr>
          <w:sz w:val="24"/>
          <w:szCs w:val="24"/>
          <w:lang w:eastAsia="en-US"/>
        </w:rPr>
        <w:t xml:space="preserve"> počas predchádzajúcich dvoch fiškálnych rokov a počas prebiehajúceho fiškálneho roka.</w:t>
      </w:r>
    </w:p>
    <w:p w:rsidR="00CA2938" w:rsidRDefault="00CA2938" w:rsidP="00CA2938">
      <w:pPr>
        <w:jc w:val="both"/>
        <w:rPr>
          <w:b/>
          <w:bCs/>
          <w:i/>
          <w:iCs/>
          <w:u w:val="single"/>
        </w:rPr>
      </w:pPr>
    </w:p>
    <w:p w:rsidR="008E7EB7" w:rsidRPr="0095504D" w:rsidRDefault="008E7EB7" w:rsidP="00EF5C58">
      <w:pPr>
        <w:pStyle w:val="Nadpis6"/>
        <w:numPr>
          <w:ilvl w:val="0"/>
          <w:numId w:val="24"/>
        </w:numPr>
        <w:spacing w:line="264" w:lineRule="auto"/>
        <w:jc w:val="both"/>
      </w:pPr>
      <w:r w:rsidRPr="0095504D">
        <w:t>Kumulácia pomoci</w:t>
      </w:r>
    </w:p>
    <w:p w:rsidR="003942EF" w:rsidRPr="00C97DF7" w:rsidRDefault="003942EF" w:rsidP="003942E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Minimálna pomoc sa môže poskytnúť len vtedy, ak je preukázané, že táto pomoc a pomoc, ktorú konečný prijímateľ – predkladateľ projektu dostal v prebiehajúcom fiškálnom roku spolu s doteraz poskytnutou minimálnou pomocou počas dvoch predchádzajúcich fiškálnych rokov neprekročí maximálnu výšku pomoci stanovenú </w:t>
      </w:r>
      <w:r w:rsidRPr="00C97DF7">
        <w:rPr>
          <w:sz w:val="24"/>
          <w:szCs w:val="24"/>
        </w:rPr>
        <w:t>v článku I. Výška a intenzita pomoci tejto schémy.</w:t>
      </w:r>
    </w:p>
    <w:p w:rsidR="003942EF" w:rsidRDefault="003942EF" w:rsidP="003942EF">
      <w:pPr>
        <w:autoSpaceDE w:val="0"/>
        <w:jc w:val="both"/>
        <w:rPr>
          <w:sz w:val="24"/>
          <w:szCs w:val="24"/>
        </w:rPr>
      </w:pPr>
    </w:p>
    <w:p w:rsidR="003942EF" w:rsidRDefault="003942EF" w:rsidP="003942E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Kumulácia minimálnej pomoci je vždy viazaná na konkrétneho konečného prijímateľa – predkladateľa projektu.</w:t>
      </w:r>
    </w:p>
    <w:p w:rsidR="003942EF" w:rsidRDefault="003942EF" w:rsidP="003942EF">
      <w:pPr>
        <w:autoSpaceDE w:val="0"/>
        <w:jc w:val="both"/>
        <w:rPr>
          <w:sz w:val="24"/>
          <w:szCs w:val="24"/>
        </w:rPr>
      </w:pPr>
    </w:p>
    <w:p w:rsidR="003942EF" w:rsidRPr="00F2506C" w:rsidRDefault="003942EF" w:rsidP="003942EF">
      <w:pPr>
        <w:autoSpaceDE w:val="0"/>
        <w:jc w:val="both"/>
        <w:rPr>
          <w:sz w:val="24"/>
          <w:szCs w:val="24"/>
        </w:rPr>
      </w:pPr>
      <w:r w:rsidRPr="00F2506C">
        <w:rPr>
          <w:sz w:val="24"/>
          <w:szCs w:val="24"/>
        </w:rPr>
        <w:t xml:space="preserve">Minimálna pomoc sa </w:t>
      </w:r>
      <w:r>
        <w:rPr>
          <w:sz w:val="24"/>
          <w:szCs w:val="24"/>
        </w:rPr>
        <w:t xml:space="preserve">nesmie </w:t>
      </w:r>
      <w:r w:rsidRPr="00F2506C">
        <w:rPr>
          <w:sz w:val="24"/>
          <w:szCs w:val="24"/>
        </w:rPr>
        <w:t>kumul</w:t>
      </w:r>
      <w:r>
        <w:rPr>
          <w:sz w:val="24"/>
          <w:szCs w:val="24"/>
        </w:rPr>
        <w:t>ovať</w:t>
      </w:r>
      <w:r w:rsidRPr="00F2506C">
        <w:rPr>
          <w:sz w:val="24"/>
          <w:szCs w:val="24"/>
        </w:rPr>
        <w:t xml:space="preserve"> so štátnou pomocou </w:t>
      </w:r>
      <w:r>
        <w:rPr>
          <w:sz w:val="24"/>
          <w:szCs w:val="24"/>
        </w:rPr>
        <w:t xml:space="preserve">v prípade </w:t>
      </w:r>
      <w:r w:rsidRPr="00F2506C">
        <w:rPr>
          <w:sz w:val="24"/>
          <w:szCs w:val="24"/>
        </w:rPr>
        <w:t>rovnak</w:t>
      </w:r>
      <w:r>
        <w:rPr>
          <w:sz w:val="24"/>
          <w:szCs w:val="24"/>
        </w:rPr>
        <w:t>ých</w:t>
      </w:r>
      <w:r w:rsidRPr="00F2506C">
        <w:rPr>
          <w:sz w:val="24"/>
          <w:szCs w:val="24"/>
        </w:rPr>
        <w:t xml:space="preserve"> oprávnen</w:t>
      </w:r>
      <w:r>
        <w:rPr>
          <w:sz w:val="24"/>
          <w:szCs w:val="24"/>
        </w:rPr>
        <w:t>ých</w:t>
      </w:r>
      <w:r w:rsidRPr="00F2506C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F2506C">
        <w:rPr>
          <w:sz w:val="24"/>
          <w:szCs w:val="24"/>
        </w:rPr>
        <w:t>, ak výsledkom tejto kumulácie je intenzita pomoci presahujúca za špecifických okolností každého prípadu skupinovú výnimku alebo rozhodnutia schváleného Európskou komisiou.</w:t>
      </w:r>
    </w:p>
    <w:p w:rsidR="00CB662B" w:rsidRPr="0095504D" w:rsidRDefault="00CB662B" w:rsidP="00B357D3">
      <w:pPr>
        <w:rPr>
          <w:sz w:val="24"/>
          <w:szCs w:val="24"/>
        </w:rPr>
      </w:pPr>
    </w:p>
    <w:p w:rsidR="008E7EB7" w:rsidRDefault="008E7EB7" w:rsidP="00EF5C58">
      <w:pPr>
        <w:pStyle w:val="Nadpis6"/>
        <w:numPr>
          <w:ilvl w:val="0"/>
          <w:numId w:val="24"/>
        </w:numPr>
        <w:jc w:val="both"/>
      </w:pPr>
      <w:r w:rsidRPr="0095504D">
        <w:t>Mechanizmus poskytovania pomoci</w:t>
      </w:r>
    </w:p>
    <w:p w:rsidR="009357D2" w:rsidRPr="000A38DF" w:rsidRDefault="009357D2" w:rsidP="009357D2">
      <w:pPr>
        <w:jc w:val="both"/>
        <w:rPr>
          <w:sz w:val="24"/>
          <w:szCs w:val="24"/>
        </w:rPr>
      </w:pPr>
      <w:r w:rsidRPr="000A38DF">
        <w:rPr>
          <w:sz w:val="24"/>
          <w:szCs w:val="24"/>
        </w:rPr>
        <w:t>Pomoc konečnému prijímateľovi – predkladateľovi projektu sa poskytuje v súlade s Usmernením pre administráciu osi 4 Leader, kapitola 8. Hodnotenie a výber ŽoNFP (projektov) konečného prijímateľa – predkladateľa projektu v rámci implementácie stratégie v platnom znení.</w:t>
      </w:r>
    </w:p>
    <w:p w:rsidR="00F310A2" w:rsidRDefault="00F310A2" w:rsidP="00F310A2">
      <w:pPr>
        <w:pStyle w:val="Zkladntext3"/>
      </w:pPr>
    </w:p>
    <w:p w:rsidR="00F47C1D" w:rsidRDefault="00556FF3" w:rsidP="00F47C1D">
      <w:pPr>
        <w:jc w:val="both"/>
        <w:rPr>
          <w:sz w:val="24"/>
          <w:szCs w:val="24"/>
        </w:rPr>
      </w:pPr>
      <w:r w:rsidRPr="00437CFD">
        <w:rPr>
          <w:sz w:val="24"/>
          <w:szCs w:val="24"/>
        </w:rPr>
        <w:t>Obsah Výzvy</w:t>
      </w:r>
      <w:r w:rsidR="00B230A0">
        <w:rPr>
          <w:sz w:val="24"/>
          <w:szCs w:val="24"/>
        </w:rPr>
        <w:t xml:space="preserve"> na im</w:t>
      </w:r>
      <w:r w:rsidR="002C3424">
        <w:rPr>
          <w:sz w:val="24"/>
          <w:szCs w:val="24"/>
        </w:rPr>
        <w:t>p</w:t>
      </w:r>
      <w:r w:rsidR="00B230A0">
        <w:rPr>
          <w:sz w:val="24"/>
          <w:szCs w:val="24"/>
        </w:rPr>
        <w:t>lementáciu stratégie</w:t>
      </w:r>
      <w:r w:rsidRPr="00437CFD">
        <w:rPr>
          <w:sz w:val="24"/>
          <w:szCs w:val="24"/>
        </w:rPr>
        <w:t xml:space="preserve"> a jej náležitosti sú v súlade s § 36 </w:t>
      </w:r>
      <w:r w:rsidRPr="00437CFD">
        <w:rPr>
          <w:sz w:val="24"/>
          <w:szCs w:val="24"/>
          <w:lang w:eastAsia="en-US"/>
        </w:rPr>
        <w:t xml:space="preserve">zákona č. 528/2008 Z. z. </w:t>
      </w:r>
    </w:p>
    <w:p w:rsidR="00556FF3" w:rsidRPr="00845DF5" w:rsidRDefault="00556FF3" w:rsidP="002C3424">
      <w:pPr>
        <w:pStyle w:val="Zarkazkladnhotextu3"/>
        <w:tabs>
          <w:tab w:val="left" w:pos="0"/>
        </w:tabs>
        <w:autoSpaceDE w:val="0"/>
        <w:autoSpaceDN w:val="0"/>
        <w:spacing w:after="0" w:line="300" w:lineRule="exact"/>
        <w:ind w:left="0" w:firstLine="0"/>
      </w:pPr>
    </w:p>
    <w:p w:rsidR="00C10FA0" w:rsidRDefault="008E7EB7" w:rsidP="00EF5C58">
      <w:pPr>
        <w:pStyle w:val="Nadpis6"/>
        <w:numPr>
          <w:ilvl w:val="0"/>
          <w:numId w:val="24"/>
        </w:numPr>
        <w:spacing w:line="264" w:lineRule="auto"/>
        <w:jc w:val="both"/>
      </w:pPr>
      <w:r w:rsidRPr="0095504D">
        <w:t>Ročný rozpočet</w:t>
      </w:r>
    </w:p>
    <w:p w:rsidR="00C61212" w:rsidRDefault="002C3424" w:rsidP="002C3424">
      <w:pPr>
        <w:jc w:val="both"/>
        <w:rPr>
          <w:color w:val="000000"/>
          <w:sz w:val="24"/>
          <w:szCs w:val="24"/>
        </w:rPr>
      </w:pPr>
      <w:r w:rsidRPr="00860E59">
        <w:rPr>
          <w:color w:val="000000"/>
          <w:sz w:val="24"/>
          <w:szCs w:val="24"/>
        </w:rPr>
        <w:t xml:space="preserve">Rozpočet </w:t>
      </w:r>
      <w:r>
        <w:rPr>
          <w:color w:val="000000"/>
          <w:sz w:val="24"/>
          <w:szCs w:val="24"/>
        </w:rPr>
        <w:t>(</w:t>
      </w:r>
      <w:r w:rsidRPr="00860E59">
        <w:rPr>
          <w:color w:val="000000"/>
          <w:sz w:val="24"/>
          <w:szCs w:val="24"/>
        </w:rPr>
        <w:t>objem finančných prostriedkov</w:t>
      </w:r>
      <w:r>
        <w:rPr>
          <w:color w:val="000000"/>
          <w:sz w:val="24"/>
          <w:szCs w:val="24"/>
        </w:rPr>
        <w:t>)</w:t>
      </w:r>
      <w:r w:rsidRPr="00860E59">
        <w:rPr>
          <w:color w:val="000000"/>
          <w:sz w:val="24"/>
          <w:szCs w:val="24"/>
        </w:rPr>
        <w:t xml:space="preserve"> pre opatrenie </w:t>
      </w:r>
      <w:r>
        <w:rPr>
          <w:color w:val="000000"/>
          <w:sz w:val="24"/>
          <w:szCs w:val="24"/>
        </w:rPr>
        <w:t xml:space="preserve">3.2 Podpora činností v oblasti vidieckeho cestovného ruchu – časť A implementované prostredníctvom osi 4 Leader, sa riadi podmienkami definovanými v schválenej </w:t>
      </w:r>
      <w:r w:rsidR="004B6D84">
        <w:rPr>
          <w:color w:val="000000"/>
          <w:sz w:val="24"/>
          <w:szCs w:val="24"/>
        </w:rPr>
        <w:t>stratégií</w:t>
      </w:r>
      <w:r>
        <w:rPr>
          <w:color w:val="000000"/>
          <w:sz w:val="24"/>
          <w:szCs w:val="24"/>
        </w:rPr>
        <w:t xml:space="preserve"> </w:t>
      </w:r>
      <w:r w:rsidR="004B6D84">
        <w:rPr>
          <w:color w:val="000000"/>
          <w:sz w:val="24"/>
          <w:szCs w:val="24"/>
        </w:rPr>
        <w:t xml:space="preserve">príslušnej </w:t>
      </w:r>
      <w:r>
        <w:rPr>
          <w:color w:val="000000"/>
          <w:sz w:val="24"/>
          <w:szCs w:val="24"/>
        </w:rPr>
        <w:t xml:space="preserve"> MAS</w:t>
      </w:r>
      <w:r w:rsidRPr="00076C8D">
        <w:rPr>
          <w:color w:val="000000"/>
          <w:sz w:val="24"/>
          <w:szCs w:val="24"/>
        </w:rPr>
        <w:t>.</w:t>
      </w:r>
      <w:r w:rsidRPr="00860E59">
        <w:rPr>
          <w:color w:val="000000"/>
          <w:sz w:val="24"/>
          <w:szCs w:val="24"/>
        </w:rPr>
        <w:t xml:space="preserve"> </w:t>
      </w:r>
      <w:r w:rsidR="009812C2">
        <w:rPr>
          <w:color w:val="000000"/>
          <w:sz w:val="24"/>
          <w:szCs w:val="24"/>
        </w:rPr>
        <w:t xml:space="preserve">Miestna akčná skupina vo svojej Integrovanej stratégii rozvoja územia má </w:t>
      </w:r>
      <w:r w:rsidR="00BD0445">
        <w:rPr>
          <w:color w:val="000000"/>
          <w:sz w:val="24"/>
          <w:szCs w:val="24"/>
        </w:rPr>
        <w:t>určený</w:t>
      </w:r>
      <w:r w:rsidR="009812C2">
        <w:rPr>
          <w:color w:val="000000"/>
          <w:sz w:val="24"/>
          <w:szCs w:val="24"/>
        </w:rPr>
        <w:t xml:space="preserve"> celkový rozpočet na opatrenie 3.2 Podpora činností v oblasti vidieckeho cestovného ruchu – časť A implementovaného prostredníctvom osi 4 Leader. </w:t>
      </w:r>
      <w:r w:rsidR="00BD0445">
        <w:rPr>
          <w:color w:val="000000"/>
          <w:sz w:val="24"/>
          <w:szCs w:val="24"/>
        </w:rPr>
        <w:t xml:space="preserve">Integrovanú stratégiu rozvoja územia má každá Miestna akčná skupina zverejnenú na </w:t>
      </w:r>
      <w:r w:rsidR="009A77DA">
        <w:rPr>
          <w:color w:val="000000"/>
          <w:sz w:val="24"/>
          <w:szCs w:val="24"/>
        </w:rPr>
        <w:t>webovom sídle</w:t>
      </w:r>
      <w:r w:rsidR="00BD0445">
        <w:rPr>
          <w:color w:val="000000"/>
          <w:sz w:val="24"/>
          <w:szCs w:val="24"/>
        </w:rPr>
        <w:t xml:space="preserve"> Národnej siete rozvoja vidieka</w:t>
      </w:r>
    </w:p>
    <w:p w:rsidR="002C3424" w:rsidRPr="00C61212" w:rsidRDefault="00BD0445" w:rsidP="002C3424">
      <w:pPr>
        <w:jc w:val="both"/>
        <w:rPr>
          <w:color w:val="000000"/>
          <w:sz w:val="24"/>
          <w:szCs w:val="24"/>
        </w:rPr>
      </w:pPr>
      <w:hyperlink r:id="rId10" w:history="1">
        <w:r w:rsidRPr="00C61212">
          <w:rPr>
            <w:rStyle w:val="Hypertextovprepojenie"/>
            <w:sz w:val="24"/>
            <w:szCs w:val="24"/>
          </w:rPr>
          <w:t>http://www.nsrv.sk/index.php?pl=18&amp;article=34&amp;PHPSESSID=eff9e7eb2161e804dcf1407d2357e9de</w:t>
        </w:r>
      </w:hyperlink>
      <w:r w:rsidR="00F971E5">
        <w:rPr>
          <w:sz w:val="24"/>
          <w:szCs w:val="24"/>
        </w:rPr>
        <w:t>.</w:t>
      </w:r>
    </w:p>
    <w:p w:rsidR="00025BE0" w:rsidRDefault="00025BE0">
      <w:pPr>
        <w:pStyle w:val="Nadpis6"/>
        <w:numPr>
          <w:ilvl w:val="0"/>
          <w:numId w:val="0"/>
        </w:numPr>
        <w:spacing w:line="264" w:lineRule="auto"/>
        <w:jc w:val="both"/>
      </w:pPr>
    </w:p>
    <w:p w:rsidR="008E7EB7" w:rsidRPr="0095504D" w:rsidRDefault="008E7EB7" w:rsidP="00EF5C58">
      <w:pPr>
        <w:pStyle w:val="Nadpis6"/>
        <w:numPr>
          <w:ilvl w:val="0"/>
          <w:numId w:val="24"/>
        </w:numPr>
        <w:spacing w:line="264" w:lineRule="auto"/>
        <w:jc w:val="both"/>
      </w:pPr>
      <w:r w:rsidRPr="0095504D">
        <w:t>Transparentnosť a monitorovanie</w:t>
      </w:r>
    </w:p>
    <w:p w:rsidR="00265DB0" w:rsidRDefault="00265DB0" w:rsidP="00265D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Ministerstvo štvrťročne oznamuje Ministerstvu financií SR poskytnutie pomoci podľa tejto schémy, a to do 30 dní po uplynutí štvrťroku, v ktorom sa konečnému prijímateľovi</w:t>
      </w:r>
      <w:r w:rsidR="00902458">
        <w:rPr>
          <w:color w:val="000000"/>
          <w:sz w:val="24"/>
          <w:szCs w:val="24"/>
        </w:rPr>
        <w:t xml:space="preserve"> – predkladateľovi projektu</w:t>
      </w:r>
      <w:r>
        <w:rPr>
          <w:color w:val="000000"/>
          <w:sz w:val="24"/>
          <w:szCs w:val="24"/>
        </w:rPr>
        <w:t xml:space="preserve">  pomoc poskytla. </w:t>
      </w:r>
    </w:p>
    <w:p w:rsidR="00265DB0" w:rsidRDefault="00265DB0" w:rsidP="00265DB0">
      <w:pPr>
        <w:jc w:val="both"/>
        <w:rPr>
          <w:color w:val="000000"/>
          <w:sz w:val="24"/>
          <w:szCs w:val="24"/>
        </w:rPr>
      </w:pPr>
    </w:p>
    <w:p w:rsidR="00265DB0" w:rsidRDefault="00265DB0" w:rsidP="00265D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Konečný prijímateľ</w:t>
      </w:r>
      <w:r w:rsidR="00902458">
        <w:rPr>
          <w:color w:val="000000"/>
          <w:sz w:val="24"/>
          <w:szCs w:val="24"/>
        </w:rPr>
        <w:t xml:space="preserve"> – predkladateľ projektu</w:t>
      </w:r>
      <w:r>
        <w:rPr>
          <w:color w:val="000000"/>
          <w:sz w:val="24"/>
          <w:szCs w:val="24"/>
        </w:rPr>
        <w:t xml:space="preserve"> podľa tejto schémy štvrťročne oznamuje Ministerstvu financií SR prijatie minimálnej pomoci, a to do 30 dní po uplynutí štvrťroku, v ktorom minimálnu pomoc prijal. </w:t>
      </w:r>
    </w:p>
    <w:p w:rsidR="00265DB0" w:rsidRDefault="00265DB0" w:rsidP="00265DB0">
      <w:pPr>
        <w:jc w:val="both"/>
        <w:rPr>
          <w:color w:val="000000"/>
          <w:sz w:val="24"/>
          <w:szCs w:val="24"/>
        </w:rPr>
      </w:pPr>
    </w:p>
    <w:p w:rsidR="00265DB0" w:rsidRPr="00A25830" w:rsidRDefault="00265DB0" w:rsidP="00265DB0">
      <w:pPr>
        <w:jc w:val="both"/>
        <w:rPr>
          <w:sz w:val="24"/>
          <w:szCs w:val="24"/>
        </w:rPr>
      </w:pPr>
      <w:r w:rsidRPr="00261AE6">
        <w:rPr>
          <w:color w:val="000000"/>
          <w:sz w:val="24"/>
          <w:szCs w:val="24"/>
        </w:rPr>
        <w:t>Ministerstvo a konečný prijímateľ</w:t>
      </w:r>
      <w:r w:rsidR="00155BDC">
        <w:rPr>
          <w:color w:val="000000"/>
          <w:sz w:val="24"/>
          <w:szCs w:val="24"/>
        </w:rPr>
        <w:t xml:space="preserve"> –</w:t>
      </w:r>
      <w:r w:rsidR="00902458">
        <w:rPr>
          <w:color w:val="000000"/>
          <w:sz w:val="24"/>
          <w:szCs w:val="24"/>
        </w:rPr>
        <w:t xml:space="preserve"> predkladateľ projektu</w:t>
      </w:r>
      <w:r w:rsidRPr="00261AE6">
        <w:rPr>
          <w:color w:val="000000"/>
          <w:sz w:val="24"/>
          <w:szCs w:val="24"/>
        </w:rPr>
        <w:t xml:space="preserve"> podľa tejto schémy predkladajú oznámenia o poskytnutí </w:t>
      </w:r>
      <w:r w:rsidR="004E5F07" w:rsidRPr="00261AE6">
        <w:rPr>
          <w:color w:val="000000"/>
          <w:sz w:val="24"/>
          <w:szCs w:val="24"/>
        </w:rPr>
        <w:t>a prijatí</w:t>
      </w:r>
      <w:r w:rsidR="004E5F07" w:rsidRPr="00261AE6" w:rsidDel="004E5F07">
        <w:rPr>
          <w:color w:val="000000"/>
          <w:sz w:val="24"/>
          <w:szCs w:val="24"/>
        </w:rPr>
        <w:t xml:space="preserve"> </w:t>
      </w:r>
      <w:r w:rsidRPr="00261AE6">
        <w:rPr>
          <w:color w:val="000000"/>
          <w:sz w:val="24"/>
          <w:szCs w:val="24"/>
        </w:rPr>
        <w:t xml:space="preserve">minimálnej pomoci a oznámenia o prijatí minimálnej pomoci na príslušnom formulári. Vzor formulárov je uverejnený na </w:t>
      </w:r>
      <w:r w:rsidR="009A77DA">
        <w:rPr>
          <w:color w:val="000000"/>
          <w:sz w:val="24"/>
          <w:szCs w:val="24"/>
        </w:rPr>
        <w:t>webovom sídle</w:t>
      </w:r>
      <w:r w:rsidRPr="00261AE6">
        <w:rPr>
          <w:color w:val="000000"/>
          <w:sz w:val="24"/>
          <w:szCs w:val="24"/>
        </w:rPr>
        <w:t xml:space="preserve"> </w:t>
      </w:r>
      <w:hyperlink r:id="rId11" w:history="1">
        <w:r w:rsidRPr="00261AE6">
          <w:rPr>
            <w:rStyle w:val="Hypertextovprepojenie"/>
            <w:sz w:val="24"/>
            <w:szCs w:val="24"/>
          </w:rPr>
          <w:t>www.finance.gov.sk</w:t>
        </w:r>
      </w:hyperlink>
      <w:r w:rsidRPr="00261AE6">
        <w:rPr>
          <w:sz w:val="24"/>
          <w:szCs w:val="24"/>
        </w:rPr>
        <w:t>.</w:t>
      </w:r>
    </w:p>
    <w:p w:rsidR="00265DB0" w:rsidRDefault="00265DB0" w:rsidP="00265DB0">
      <w:pPr>
        <w:jc w:val="both"/>
        <w:rPr>
          <w:sz w:val="24"/>
          <w:szCs w:val="24"/>
        </w:rPr>
      </w:pPr>
    </w:p>
    <w:p w:rsidR="00265DB0" w:rsidRDefault="00265DB0" w:rsidP="00265DB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PPA písomne informuje konečného prijímateľa</w:t>
      </w:r>
      <w:r w:rsidR="00902458">
        <w:rPr>
          <w:sz w:val="24"/>
          <w:szCs w:val="24"/>
        </w:rPr>
        <w:t xml:space="preserve"> – predkladateľa projektu</w:t>
      </w:r>
      <w:r>
        <w:rPr>
          <w:sz w:val="24"/>
          <w:szCs w:val="24"/>
        </w:rPr>
        <w:t xml:space="preserve">  podľa tejto schémy, že mu poskytuje minimálnu pomoc, informuje ho o predpokladanej výške pomoci a o povahe (charaktere) tejto pomoci s výslovným uvedením nariadenia Komisie (ES) č. 1998/2006 a referenciou týkajúcou sa uverejnenia príslušného nariadenia v Úradnom vestníku Európskej únie. Uvedené  sa považuje za splnené, ak je to vzájomne dohodnuté v zmluve o poskytnutí NFP (prostredníctvom zmluvy o poskytnutí NFP).</w:t>
      </w:r>
    </w:p>
    <w:p w:rsidR="00265DB0" w:rsidRDefault="00265DB0" w:rsidP="00265DB0">
      <w:pPr>
        <w:jc w:val="both"/>
        <w:rPr>
          <w:sz w:val="24"/>
          <w:szCs w:val="24"/>
        </w:rPr>
      </w:pPr>
    </w:p>
    <w:p w:rsidR="00265DB0" w:rsidRDefault="00265DB0" w:rsidP="00265DB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Záznamy, ktoré sa týkajú </w:t>
      </w:r>
      <w:r w:rsidR="008E7462">
        <w:rPr>
          <w:sz w:val="24"/>
          <w:szCs w:val="24"/>
        </w:rPr>
        <w:t xml:space="preserve">individuálnej </w:t>
      </w:r>
      <w:r>
        <w:rPr>
          <w:sz w:val="24"/>
          <w:szCs w:val="24"/>
        </w:rPr>
        <w:t xml:space="preserve">minimálnej pomoci sa uchovajú po dobu desiatich rokov od dátumu jej poskytnutia. Záznamy týkajúce sa schémy pomoci </w:t>
      </w:r>
      <w:r w:rsidR="008E7462">
        <w:rPr>
          <w:sz w:val="24"/>
          <w:szCs w:val="24"/>
        </w:rPr>
        <w:t xml:space="preserve">de minimis </w:t>
      </w:r>
      <w:r>
        <w:rPr>
          <w:sz w:val="24"/>
          <w:szCs w:val="24"/>
        </w:rPr>
        <w:t>sa uchovajú po dobu desiatich rokov od dátumu, kedy sa poskytla posledná individuálna pomoc v rámci tejto schémy.</w:t>
      </w:r>
    </w:p>
    <w:p w:rsidR="00265DB0" w:rsidRDefault="00265DB0" w:rsidP="00265DB0">
      <w:pPr>
        <w:autoSpaceDE w:val="0"/>
        <w:jc w:val="both"/>
        <w:rPr>
          <w:sz w:val="24"/>
          <w:szCs w:val="24"/>
        </w:rPr>
      </w:pPr>
    </w:p>
    <w:p w:rsidR="00265DB0" w:rsidRPr="00FC1ABB" w:rsidRDefault="00265DB0" w:rsidP="00265DB0">
      <w:pPr>
        <w:spacing w:before="120" w:after="120"/>
        <w:jc w:val="both"/>
        <w:rPr>
          <w:sz w:val="24"/>
          <w:szCs w:val="24"/>
        </w:rPr>
      </w:pPr>
      <w:r w:rsidRPr="00FC1ABB">
        <w:rPr>
          <w:sz w:val="24"/>
          <w:szCs w:val="24"/>
        </w:rPr>
        <w:t xml:space="preserve">Údaje o minimálnej pomoci poskytnutej jednotlivým </w:t>
      </w:r>
      <w:r>
        <w:rPr>
          <w:sz w:val="24"/>
          <w:szCs w:val="24"/>
        </w:rPr>
        <w:t xml:space="preserve">konečným prijímateľom (oprávneným žiadateľom) </w:t>
      </w:r>
      <w:r w:rsidRPr="00FC1ABB">
        <w:rPr>
          <w:sz w:val="24"/>
          <w:szCs w:val="24"/>
        </w:rPr>
        <w:t>uverejní ministerstvo a</w:t>
      </w:r>
      <w:r>
        <w:rPr>
          <w:sz w:val="24"/>
          <w:szCs w:val="24"/>
        </w:rPr>
        <w:t xml:space="preserve"> PPA na </w:t>
      </w:r>
      <w:r w:rsidR="009A77DA">
        <w:rPr>
          <w:sz w:val="24"/>
          <w:szCs w:val="24"/>
        </w:rPr>
        <w:t>svojom webovom sídle</w:t>
      </w:r>
      <w:r w:rsidRPr="00FC1ABB">
        <w:rPr>
          <w:sz w:val="24"/>
          <w:szCs w:val="24"/>
        </w:rPr>
        <w:t xml:space="preserve"> </w:t>
      </w:r>
      <w:r w:rsidRPr="009A2960">
        <w:rPr>
          <w:sz w:val="24"/>
          <w:szCs w:val="24"/>
        </w:rPr>
        <w:t>(</w:t>
      </w:r>
      <w:hyperlink r:id="rId12" w:history="1">
        <w:r w:rsidRPr="009A2960">
          <w:rPr>
            <w:rStyle w:val="Hypertextovprepojenie"/>
            <w:sz w:val="24"/>
            <w:szCs w:val="24"/>
          </w:rPr>
          <w:t>http://www.land.gov.sk</w:t>
        </w:r>
      </w:hyperlink>
      <w:hyperlink r:id="rId13" w:history="1"/>
      <w:r w:rsidR="000D7F60">
        <w:rPr>
          <w:sz w:val="24"/>
          <w:szCs w:val="24"/>
        </w:rPr>
        <w:t xml:space="preserve">, </w:t>
      </w:r>
      <w:hyperlink r:id="rId14" w:history="1">
        <w:r w:rsidRPr="009A2960">
          <w:rPr>
            <w:rStyle w:val="Hypertextovprepojenie"/>
            <w:sz w:val="24"/>
            <w:szCs w:val="24"/>
          </w:rPr>
          <w:t>http://www.apa.sk</w:t>
        </w:r>
      </w:hyperlink>
      <w:r w:rsidRPr="009A2960">
        <w:rPr>
          <w:sz w:val="24"/>
          <w:szCs w:val="24"/>
        </w:rPr>
        <w:t>)</w:t>
      </w:r>
      <w:r w:rsidRPr="00FC1ABB">
        <w:rPr>
          <w:sz w:val="24"/>
          <w:szCs w:val="24"/>
        </w:rPr>
        <w:t>.</w:t>
      </w:r>
    </w:p>
    <w:p w:rsidR="00265DB0" w:rsidRDefault="00265DB0" w:rsidP="00265DB0">
      <w:pPr>
        <w:autoSpaceDE w:val="0"/>
        <w:rPr>
          <w:sz w:val="24"/>
          <w:szCs w:val="24"/>
        </w:rPr>
      </w:pPr>
    </w:p>
    <w:p w:rsidR="00265DB0" w:rsidRDefault="00265DB0" w:rsidP="00265DB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a PPA zaznamenajú a zhromaždia všetky informácie, ktoré sa týkajú uplatňovania schémy. Tieto záznamy budú obsahovať všetky informácie potrebné na preukázanie splnenia podmienok tejto schémy. </w:t>
      </w:r>
    </w:p>
    <w:p w:rsidR="00265DB0" w:rsidRDefault="00265DB0" w:rsidP="00265DB0">
      <w:pPr>
        <w:autoSpaceDE w:val="0"/>
        <w:jc w:val="both"/>
        <w:rPr>
          <w:sz w:val="24"/>
          <w:szCs w:val="24"/>
        </w:rPr>
      </w:pPr>
    </w:p>
    <w:p w:rsidR="00265DB0" w:rsidRDefault="00265DB0" w:rsidP="00265DB0">
      <w:pPr>
        <w:autoSpaceDE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PPA predloží ministerstvu do 10. februára nasledujúceho roku po roku poskytnutia pomoci podľa tejto schémy </w:t>
      </w:r>
      <w:r>
        <w:rPr>
          <w:color w:val="000000"/>
          <w:sz w:val="24"/>
          <w:szCs w:val="24"/>
        </w:rPr>
        <w:t xml:space="preserve">prehľad o poskytnutej pomoci podľa tejto schémy za príslušný  rok. </w:t>
      </w:r>
    </w:p>
    <w:p w:rsidR="00265DB0" w:rsidRDefault="00265DB0" w:rsidP="00265DB0">
      <w:pPr>
        <w:autoSpaceDE w:val="0"/>
        <w:jc w:val="both"/>
        <w:rPr>
          <w:sz w:val="24"/>
          <w:szCs w:val="24"/>
        </w:rPr>
      </w:pPr>
    </w:p>
    <w:p w:rsidR="00265DB0" w:rsidRDefault="00265DB0" w:rsidP="00265DB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predkladá Ministerstvu financií SR do 15. februára nasledujúceho roku po roku poskytnutia pomoci podľa tejto schémy kumulatívny prehľad o poskytnutej minimálnej pomoci za príslušný rok. </w:t>
      </w:r>
    </w:p>
    <w:p w:rsidR="00F00EE5" w:rsidRDefault="00F00EE5" w:rsidP="00F00EE5">
      <w:pPr>
        <w:jc w:val="both"/>
        <w:rPr>
          <w:sz w:val="24"/>
          <w:szCs w:val="24"/>
        </w:rPr>
      </w:pPr>
    </w:p>
    <w:p w:rsidR="00794801" w:rsidRDefault="00A25830" w:rsidP="00EF5C58">
      <w:pPr>
        <w:pStyle w:val="Nadpis6"/>
        <w:numPr>
          <w:ilvl w:val="0"/>
          <w:numId w:val="24"/>
        </w:numPr>
        <w:spacing w:line="264" w:lineRule="auto"/>
        <w:jc w:val="both"/>
      </w:pPr>
      <w:r>
        <w:t>Kontrola</w:t>
      </w:r>
      <w:r w:rsidR="00BC0904">
        <w:t xml:space="preserve"> a vnútorný audit</w:t>
      </w:r>
    </w:p>
    <w:p w:rsidR="005F2E2D" w:rsidRDefault="005F2E2D" w:rsidP="005F2E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vykonávanie kontroly sa vzťahuje zákon č. 502/2001 Z. z. o finančnej kontrole a vnútornom audite a o zmene a doplnení niektorých zákonov (ďalej len „zákon o finančnej kontrole“) a zákon o štátnej pomoci.</w:t>
      </w:r>
    </w:p>
    <w:p w:rsidR="005F2E2D" w:rsidRDefault="005F2E2D" w:rsidP="005F2E2D">
      <w:pPr>
        <w:jc w:val="both"/>
        <w:rPr>
          <w:color w:val="000000"/>
          <w:sz w:val="24"/>
          <w:szCs w:val="24"/>
        </w:rPr>
      </w:pPr>
    </w:p>
    <w:p w:rsidR="005F2E2D" w:rsidRDefault="005F2E2D" w:rsidP="005F2E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Ministerstvo a PPA kontroluje podľa zákona o finančnej kontrole dodržiavanie podmienok, za ktorých sa dotácia poskytla, ako aj ostatné skutočnosti, ktoré by mohli mať vplyv na správnosť a účelovosť poskytnutej dotácie.</w:t>
      </w:r>
    </w:p>
    <w:p w:rsidR="005F2E2D" w:rsidRDefault="005F2E2D" w:rsidP="005F2E2D">
      <w:pPr>
        <w:jc w:val="both"/>
        <w:rPr>
          <w:color w:val="000000"/>
          <w:sz w:val="24"/>
          <w:szCs w:val="24"/>
        </w:rPr>
      </w:pPr>
    </w:p>
    <w:p w:rsidR="005F2E2D" w:rsidRDefault="005F2E2D" w:rsidP="005F2E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Ministerstvo financií SR je podľa § 24 zákona o štátnej pomoci oprávnené kontrolovať poskytnutie minimálnej pomoci u poskytovateľa a na ten účel je oprávnené si overiť potrebné skutočnosti aj u konečného prijímat</w:t>
      </w:r>
      <w:r w:rsidR="00025BE0">
        <w:rPr>
          <w:color w:val="000000"/>
          <w:sz w:val="24"/>
          <w:szCs w:val="24"/>
        </w:rPr>
        <w:t xml:space="preserve">eľa – predkladateľa projektu </w:t>
      </w:r>
      <w:r>
        <w:rPr>
          <w:color w:val="000000"/>
          <w:sz w:val="24"/>
          <w:szCs w:val="24"/>
        </w:rPr>
        <w:t xml:space="preserve"> minimálnej pomoci.</w:t>
      </w:r>
    </w:p>
    <w:p w:rsidR="005F2E2D" w:rsidRDefault="005F2E2D" w:rsidP="005F2E2D">
      <w:pPr>
        <w:jc w:val="both"/>
        <w:rPr>
          <w:color w:val="000000"/>
          <w:sz w:val="24"/>
          <w:szCs w:val="24"/>
        </w:rPr>
      </w:pPr>
    </w:p>
    <w:p w:rsidR="005F2E2D" w:rsidRDefault="005F2E2D" w:rsidP="005F2E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Konečný prijímateľ</w:t>
      </w:r>
      <w:r w:rsidR="00025BE0">
        <w:rPr>
          <w:color w:val="000000"/>
          <w:sz w:val="24"/>
          <w:szCs w:val="24"/>
        </w:rPr>
        <w:t>- predkladateľ projektu</w:t>
      </w:r>
      <w:r>
        <w:rPr>
          <w:color w:val="000000"/>
          <w:sz w:val="24"/>
          <w:szCs w:val="24"/>
        </w:rPr>
        <w:t xml:space="preserve"> minimálnej pomoci umožní Ministerstvu financií SR, ministerstvu a PPA vykonanie kontrol dodržania podmienok poskytnutia minimálnej pomoci.</w:t>
      </w:r>
    </w:p>
    <w:p w:rsidR="005F2E2D" w:rsidRDefault="005F2E2D" w:rsidP="005F2E2D">
      <w:pPr>
        <w:pStyle w:val="Zarkazkladnhotextu"/>
        <w:autoSpaceDE w:val="0"/>
        <w:spacing w:before="120" w:after="120"/>
        <w:ind w:left="0"/>
      </w:pPr>
      <w:r>
        <w:t>Subjektmi zapojenými do finančnej kontroly sú:</w:t>
      </w:r>
    </w:p>
    <w:p w:rsidR="005F2E2D" w:rsidRDefault="005F2E2D" w:rsidP="001C2D1E">
      <w:pPr>
        <w:pStyle w:val="Zarkazkladnhotextu"/>
        <w:numPr>
          <w:ilvl w:val="0"/>
          <w:numId w:val="3"/>
        </w:numPr>
        <w:tabs>
          <w:tab w:val="left" w:pos="720"/>
        </w:tabs>
        <w:suppressAutoHyphens/>
        <w:autoSpaceDE w:val="0"/>
        <w:spacing w:before="60" w:after="60"/>
        <w:ind w:left="1069" w:hanging="709"/>
      </w:pPr>
      <w:r>
        <w:t>Útvary kontroly ministerstva a PPA,</w:t>
      </w:r>
    </w:p>
    <w:p w:rsidR="005F2E2D" w:rsidRDefault="005F2E2D" w:rsidP="001C2D1E">
      <w:pPr>
        <w:pStyle w:val="Zarkazkladnhotextu"/>
        <w:numPr>
          <w:ilvl w:val="0"/>
          <w:numId w:val="3"/>
        </w:numPr>
        <w:tabs>
          <w:tab w:val="left" w:pos="720"/>
        </w:tabs>
        <w:suppressAutoHyphens/>
        <w:autoSpaceDE w:val="0"/>
        <w:spacing w:before="60" w:after="60"/>
        <w:ind w:left="1069" w:hanging="709"/>
      </w:pPr>
      <w:r>
        <w:t>Ministerstvo financií SR,</w:t>
      </w:r>
    </w:p>
    <w:p w:rsidR="005F2E2D" w:rsidRDefault="005F2E2D" w:rsidP="001C2D1E">
      <w:pPr>
        <w:pStyle w:val="Zarkazkladnhotextu"/>
        <w:numPr>
          <w:ilvl w:val="0"/>
          <w:numId w:val="3"/>
        </w:numPr>
        <w:tabs>
          <w:tab w:val="left" w:pos="720"/>
        </w:tabs>
        <w:suppressAutoHyphens/>
        <w:autoSpaceDE w:val="0"/>
        <w:spacing w:before="60" w:after="60"/>
        <w:ind w:left="1069" w:hanging="709"/>
      </w:pPr>
      <w:r>
        <w:t>Správa finančnej kontroly,</w:t>
      </w:r>
    </w:p>
    <w:p w:rsidR="005F2E2D" w:rsidRDefault="005F2E2D" w:rsidP="001C2D1E">
      <w:pPr>
        <w:pStyle w:val="Zarkazkladnhotextu"/>
        <w:numPr>
          <w:ilvl w:val="0"/>
          <w:numId w:val="3"/>
        </w:numPr>
        <w:tabs>
          <w:tab w:val="left" w:pos="720"/>
        </w:tabs>
        <w:suppressAutoHyphens/>
        <w:autoSpaceDE w:val="0"/>
        <w:ind w:left="1069" w:hanging="709"/>
      </w:pPr>
      <w:r>
        <w:t>Najvyšší kontrolný úrad SR</w:t>
      </w:r>
      <w:r w:rsidR="004E5F07">
        <w:t>.</w:t>
      </w:r>
      <w:r>
        <w:t xml:space="preserve"> </w:t>
      </w:r>
    </w:p>
    <w:p w:rsidR="005F2E2D" w:rsidRDefault="005F2E2D" w:rsidP="00DF38BC">
      <w:pPr>
        <w:jc w:val="both"/>
        <w:rPr>
          <w:sz w:val="24"/>
          <w:szCs w:val="24"/>
        </w:rPr>
      </w:pPr>
    </w:p>
    <w:p w:rsidR="005F2E2D" w:rsidRDefault="005F2E2D" w:rsidP="00DF38B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Konečný prijímateľ</w:t>
      </w:r>
      <w:r w:rsidR="00025BE0">
        <w:rPr>
          <w:color w:val="000000"/>
          <w:sz w:val="24"/>
          <w:szCs w:val="24"/>
        </w:rPr>
        <w:t xml:space="preserve"> – predkladateľ projektu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minimálnej pomoci vytvorí zamestnancom kontrolného orgánu vykonávajúcim kontrolu primerané podmienky na riadne a včasné vykonanie kontroly a poskytne im potrebnú súčinnosť a všetky vyžiadané informácie a listiny týkajúce sa najmä realizácie </w:t>
      </w:r>
      <w:r w:rsidR="004E5F07">
        <w:rPr>
          <w:sz w:val="24"/>
          <w:szCs w:val="24"/>
        </w:rPr>
        <w:t xml:space="preserve">nenávratného finančného príspevku </w:t>
      </w:r>
      <w:r>
        <w:rPr>
          <w:sz w:val="24"/>
          <w:szCs w:val="24"/>
        </w:rPr>
        <w:t>a minimálnej pomoci.</w:t>
      </w:r>
    </w:p>
    <w:p w:rsidR="00025BE0" w:rsidRDefault="00025BE0" w:rsidP="00824547">
      <w:pPr>
        <w:pStyle w:val="Nadpis6"/>
        <w:numPr>
          <w:ilvl w:val="0"/>
          <w:numId w:val="0"/>
        </w:numPr>
        <w:spacing w:line="264" w:lineRule="auto"/>
        <w:jc w:val="both"/>
      </w:pPr>
    </w:p>
    <w:p w:rsidR="00794801" w:rsidRDefault="00794801" w:rsidP="00EF5C58">
      <w:pPr>
        <w:pStyle w:val="Nadpis6"/>
        <w:numPr>
          <w:ilvl w:val="0"/>
          <w:numId w:val="24"/>
        </w:numPr>
        <w:spacing w:line="264" w:lineRule="auto"/>
        <w:jc w:val="both"/>
      </w:pPr>
      <w:r>
        <w:t>Platnosť a účinnosť schémy</w:t>
      </w:r>
    </w:p>
    <w:p w:rsidR="005F2E2D" w:rsidRDefault="005F2E2D" w:rsidP="00025BE0">
      <w:pPr>
        <w:jc w:val="both"/>
        <w:rPr>
          <w:sz w:val="24"/>
          <w:szCs w:val="24"/>
        </w:rPr>
      </w:pPr>
      <w:r w:rsidRPr="009A2960">
        <w:rPr>
          <w:sz w:val="24"/>
          <w:szCs w:val="24"/>
        </w:rPr>
        <w:t xml:space="preserve">Schéma nadobúda platnosť a účinnosť dňom zverejnenia na </w:t>
      </w:r>
      <w:r w:rsidR="009A77DA">
        <w:rPr>
          <w:sz w:val="24"/>
          <w:szCs w:val="24"/>
        </w:rPr>
        <w:t>webovom sídle</w:t>
      </w:r>
      <w:r w:rsidRPr="009A2960">
        <w:rPr>
          <w:sz w:val="24"/>
          <w:szCs w:val="24"/>
        </w:rPr>
        <w:t xml:space="preserve"> ministerstva (</w:t>
      </w:r>
      <w:hyperlink r:id="rId15" w:history="1">
        <w:r w:rsidRPr="009A2960">
          <w:rPr>
            <w:rStyle w:val="Hypertextovprepojenie"/>
            <w:sz w:val="24"/>
            <w:szCs w:val="24"/>
          </w:rPr>
          <w:t>http://www.land.gov.sk</w:t>
        </w:r>
      </w:hyperlink>
      <w:r w:rsidRPr="009A2960">
        <w:rPr>
          <w:sz w:val="24"/>
          <w:szCs w:val="24"/>
        </w:rPr>
        <w:t>) a PPA (</w:t>
      </w:r>
      <w:hyperlink r:id="rId16" w:history="1">
        <w:r w:rsidRPr="009A2960">
          <w:rPr>
            <w:rStyle w:val="Hypertextovprepojenie"/>
            <w:sz w:val="24"/>
            <w:szCs w:val="24"/>
          </w:rPr>
          <w:t>http://www.apa.sk</w:t>
        </w:r>
      </w:hyperlink>
      <w:r w:rsidRPr="009A2960">
        <w:rPr>
          <w:sz w:val="24"/>
          <w:szCs w:val="24"/>
        </w:rPr>
        <w:t>).</w:t>
      </w:r>
    </w:p>
    <w:p w:rsidR="005F2E2D" w:rsidRDefault="005F2E2D" w:rsidP="00025B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5488">
        <w:rPr>
          <w:sz w:val="24"/>
          <w:szCs w:val="24"/>
        </w:rPr>
        <w:t xml:space="preserve">Zmeny v európskej legislatíve alebo v akejkoľvek s ňou súvisiacej legislatíve musia byť premietnuté do schémy v priebehu šiestich mesiacov od nadobudnutia ich </w:t>
      </w:r>
      <w:r w:rsidR="00B54CF0">
        <w:rPr>
          <w:sz w:val="24"/>
          <w:szCs w:val="24"/>
        </w:rPr>
        <w:t xml:space="preserve">platnosti a </w:t>
      </w:r>
      <w:r w:rsidRPr="00CD5488">
        <w:rPr>
          <w:sz w:val="24"/>
          <w:szCs w:val="24"/>
        </w:rPr>
        <w:t>účinnosti.</w:t>
      </w:r>
    </w:p>
    <w:p w:rsidR="005F2E2D" w:rsidRPr="00CD5488" w:rsidRDefault="005F2E2D" w:rsidP="00025B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CD5488">
        <w:rPr>
          <w:color w:val="000000"/>
          <w:sz w:val="24"/>
          <w:szCs w:val="24"/>
        </w:rPr>
        <w:t>meny v</w:t>
      </w:r>
      <w:r>
        <w:rPr>
          <w:color w:val="000000"/>
          <w:sz w:val="24"/>
          <w:szCs w:val="24"/>
        </w:rPr>
        <w:t> </w:t>
      </w:r>
      <w:r w:rsidRPr="00CD5488">
        <w:rPr>
          <w:color w:val="000000"/>
          <w:sz w:val="24"/>
          <w:szCs w:val="24"/>
        </w:rPr>
        <w:t>schéme</w:t>
      </w:r>
      <w:r>
        <w:rPr>
          <w:color w:val="000000"/>
          <w:sz w:val="24"/>
          <w:szCs w:val="24"/>
        </w:rPr>
        <w:t xml:space="preserve"> budú </w:t>
      </w:r>
      <w:r w:rsidRPr="00CD5488">
        <w:rPr>
          <w:color w:val="000000"/>
          <w:sz w:val="24"/>
          <w:szCs w:val="24"/>
        </w:rPr>
        <w:t>vykona</w:t>
      </w:r>
      <w:r>
        <w:rPr>
          <w:color w:val="000000"/>
          <w:sz w:val="24"/>
          <w:szCs w:val="24"/>
        </w:rPr>
        <w:t>né formou dodatkov ku schéme, ktoré nadobúdajú platnosť</w:t>
      </w:r>
      <w:r w:rsidR="00B54CF0">
        <w:rPr>
          <w:color w:val="000000"/>
          <w:sz w:val="24"/>
          <w:szCs w:val="24"/>
        </w:rPr>
        <w:t xml:space="preserve"> a účinnosť</w:t>
      </w:r>
      <w:r>
        <w:rPr>
          <w:color w:val="000000"/>
          <w:sz w:val="24"/>
          <w:szCs w:val="24"/>
        </w:rPr>
        <w:t xml:space="preserve"> dňom ich zverejnenia na </w:t>
      </w:r>
      <w:r w:rsidR="004839C2">
        <w:rPr>
          <w:color w:val="000000"/>
          <w:sz w:val="24"/>
          <w:szCs w:val="24"/>
        </w:rPr>
        <w:t>webovom sídle</w:t>
      </w:r>
      <w:r w:rsidRPr="00CD5488">
        <w:rPr>
          <w:color w:val="000000"/>
          <w:sz w:val="24"/>
          <w:szCs w:val="24"/>
        </w:rPr>
        <w:t xml:space="preserve"> ministerstva.</w:t>
      </w:r>
    </w:p>
    <w:p w:rsidR="00025BE0" w:rsidRDefault="00025BE0" w:rsidP="00794801">
      <w:pPr>
        <w:spacing w:line="264" w:lineRule="auto"/>
        <w:rPr>
          <w:b/>
          <w:bCs/>
          <w:sz w:val="24"/>
          <w:szCs w:val="24"/>
        </w:rPr>
      </w:pPr>
    </w:p>
    <w:p w:rsidR="00794801" w:rsidRDefault="00794801" w:rsidP="00EF5C58">
      <w:pPr>
        <w:numPr>
          <w:ilvl w:val="0"/>
          <w:numId w:val="25"/>
        </w:numPr>
        <w:spacing w:line="26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Trvanie schémy</w:t>
      </w:r>
    </w:p>
    <w:p w:rsidR="00B44E59" w:rsidRPr="004C6BF8" w:rsidRDefault="00794801" w:rsidP="009F4974">
      <w:pPr>
        <w:jc w:val="both"/>
        <w:rPr>
          <w:sz w:val="24"/>
          <w:szCs w:val="24"/>
        </w:rPr>
      </w:pPr>
      <w:r w:rsidRPr="004C6BF8">
        <w:rPr>
          <w:sz w:val="24"/>
          <w:szCs w:val="24"/>
        </w:rPr>
        <w:t>Platnosť</w:t>
      </w:r>
      <w:r w:rsidR="00B54CF0">
        <w:rPr>
          <w:sz w:val="24"/>
          <w:szCs w:val="24"/>
        </w:rPr>
        <w:t xml:space="preserve"> a účinnosť</w:t>
      </w:r>
      <w:r w:rsidRPr="004C6BF8">
        <w:rPr>
          <w:sz w:val="24"/>
          <w:szCs w:val="24"/>
        </w:rPr>
        <w:t xml:space="preserve"> schémy skončí 31. decembra 2013</w:t>
      </w:r>
      <w:r w:rsidR="00B44E59" w:rsidRPr="004C6BF8">
        <w:rPr>
          <w:sz w:val="24"/>
          <w:szCs w:val="24"/>
        </w:rPr>
        <w:t>.</w:t>
      </w:r>
    </w:p>
    <w:p w:rsidR="006C6F4B" w:rsidRDefault="006C6F4B" w:rsidP="006C6F4B">
      <w:pPr>
        <w:jc w:val="both"/>
        <w:rPr>
          <w:sz w:val="24"/>
          <w:szCs w:val="24"/>
        </w:rPr>
      </w:pPr>
      <w:r w:rsidRPr="004C6BF8">
        <w:rPr>
          <w:sz w:val="24"/>
          <w:szCs w:val="24"/>
        </w:rPr>
        <w:t xml:space="preserve">Žiadosti o nenávratný finančný príspevok je možné predložiť do 30. </w:t>
      </w:r>
      <w:r w:rsidR="009A77DA">
        <w:rPr>
          <w:sz w:val="24"/>
          <w:szCs w:val="24"/>
        </w:rPr>
        <w:t>septembra</w:t>
      </w:r>
      <w:r w:rsidR="009A77DA" w:rsidRPr="004C6BF8">
        <w:rPr>
          <w:sz w:val="24"/>
          <w:szCs w:val="24"/>
        </w:rPr>
        <w:t xml:space="preserve"> </w:t>
      </w:r>
      <w:r w:rsidRPr="004C6BF8">
        <w:rPr>
          <w:sz w:val="24"/>
          <w:szCs w:val="24"/>
        </w:rPr>
        <w:t>201</w:t>
      </w:r>
      <w:r w:rsidR="009A77DA">
        <w:rPr>
          <w:sz w:val="24"/>
          <w:szCs w:val="24"/>
        </w:rPr>
        <w:t>3</w:t>
      </w:r>
      <w:r w:rsidRPr="004C6BF8">
        <w:rPr>
          <w:sz w:val="24"/>
          <w:szCs w:val="24"/>
        </w:rPr>
        <w:t>.</w:t>
      </w:r>
    </w:p>
    <w:p w:rsidR="006C6F4B" w:rsidRDefault="001E4C60" w:rsidP="009F4974">
      <w:pPr>
        <w:jc w:val="both"/>
        <w:rPr>
          <w:sz w:val="24"/>
          <w:szCs w:val="24"/>
        </w:rPr>
      </w:pPr>
      <w:r w:rsidRPr="001E4C60">
        <w:rPr>
          <w:sz w:val="24"/>
          <w:szCs w:val="24"/>
        </w:rPr>
        <w:t>Rozhodnutie o žiadosti o nenávratný finančný príspevok musí byť vydané do 31.</w:t>
      </w:r>
      <w:r>
        <w:rPr>
          <w:sz w:val="24"/>
          <w:szCs w:val="24"/>
        </w:rPr>
        <w:t xml:space="preserve"> decembra </w:t>
      </w:r>
      <w:r w:rsidRPr="001E4C60">
        <w:rPr>
          <w:sz w:val="24"/>
          <w:szCs w:val="24"/>
        </w:rPr>
        <w:t>2013</w:t>
      </w:r>
      <w:r>
        <w:rPr>
          <w:sz w:val="24"/>
          <w:szCs w:val="24"/>
        </w:rPr>
        <w:t>.</w:t>
      </w:r>
    </w:p>
    <w:p w:rsidR="00025BE0" w:rsidRDefault="00025BE0" w:rsidP="009F4974">
      <w:pPr>
        <w:rPr>
          <w:b/>
          <w:bCs/>
          <w:sz w:val="24"/>
          <w:szCs w:val="24"/>
        </w:rPr>
      </w:pPr>
    </w:p>
    <w:p w:rsidR="00794801" w:rsidRPr="00DB7F67" w:rsidRDefault="00794801" w:rsidP="00EF5C58">
      <w:pPr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</w:t>
      </w:r>
    </w:p>
    <w:p w:rsidR="00516E64" w:rsidRDefault="002E388B" w:rsidP="004E5F07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0B7C">
        <w:rPr>
          <w:sz w:val="24"/>
          <w:szCs w:val="24"/>
        </w:rPr>
        <w:t>Prílohy</w:t>
      </w:r>
      <w:r w:rsidR="009C2E00" w:rsidRPr="001B0B7C">
        <w:rPr>
          <w:sz w:val="24"/>
          <w:szCs w:val="24"/>
        </w:rPr>
        <w:t xml:space="preserve"> (Usmernenie pre administráciu osi 4 Leader v platnom znení a prílohy k </w:t>
      </w:r>
      <w:r w:rsidR="001E4C60">
        <w:rPr>
          <w:sz w:val="24"/>
          <w:szCs w:val="24"/>
        </w:rPr>
        <w:t>U</w:t>
      </w:r>
      <w:r w:rsidR="009C2E00" w:rsidRPr="001B0B7C">
        <w:rPr>
          <w:sz w:val="24"/>
          <w:szCs w:val="24"/>
        </w:rPr>
        <w:t>smerneniu)</w:t>
      </w:r>
      <w:r w:rsidR="00873F8D">
        <w:rPr>
          <w:sz w:val="24"/>
          <w:szCs w:val="24"/>
        </w:rPr>
        <w:t xml:space="preserve"> </w:t>
      </w:r>
      <w:r w:rsidRPr="002A42AA">
        <w:rPr>
          <w:sz w:val="24"/>
          <w:szCs w:val="24"/>
        </w:rPr>
        <w:t>k schéme na opatrenie 3.2 Podpora činností v oblasti vidieckeho cestovného ruchu – časť A</w:t>
      </w:r>
      <w:r w:rsidR="004C6BF8">
        <w:rPr>
          <w:sz w:val="24"/>
          <w:szCs w:val="24"/>
        </w:rPr>
        <w:t xml:space="preserve"> implementované prostredníctvom osi 4 Leader</w:t>
      </w:r>
      <w:r w:rsidRPr="002A42AA">
        <w:rPr>
          <w:sz w:val="24"/>
          <w:szCs w:val="24"/>
        </w:rPr>
        <w:t xml:space="preserve"> sa nachádzajú na </w:t>
      </w:r>
      <w:r w:rsidR="00516E64">
        <w:rPr>
          <w:sz w:val="24"/>
          <w:szCs w:val="24"/>
        </w:rPr>
        <w:t>webov</w:t>
      </w:r>
      <w:r w:rsidR="009C3FBB">
        <w:rPr>
          <w:sz w:val="24"/>
          <w:szCs w:val="24"/>
        </w:rPr>
        <w:t>om</w:t>
      </w:r>
      <w:r w:rsidR="00516E64">
        <w:rPr>
          <w:sz w:val="24"/>
          <w:szCs w:val="24"/>
        </w:rPr>
        <w:t xml:space="preserve"> sídl</w:t>
      </w:r>
      <w:r w:rsidR="009C3FBB">
        <w:rPr>
          <w:sz w:val="24"/>
          <w:szCs w:val="24"/>
        </w:rPr>
        <w:t>e</w:t>
      </w:r>
      <w:r w:rsidRPr="002A42AA">
        <w:rPr>
          <w:sz w:val="24"/>
          <w:szCs w:val="24"/>
        </w:rPr>
        <w:t xml:space="preserve"> PPA:</w:t>
      </w:r>
      <w:r w:rsidR="00516E64">
        <w:rPr>
          <w:sz w:val="24"/>
          <w:szCs w:val="24"/>
        </w:rPr>
        <w:t xml:space="preserve"> </w:t>
      </w:r>
      <w:hyperlink r:id="rId17" w:history="1">
        <w:r w:rsidR="00516E64" w:rsidRPr="00BE63DC">
          <w:rPr>
            <w:rStyle w:val="Hypertextovprepojenie"/>
            <w:sz w:val="24"/>
            <w:szCs w:val="24"/>
          </w:rPr>
          <w:t>http://www.apa.sk/index.php?navID=349</w:t>
        </w:r>
      </w:hyperlink>
      <w:r w:rsidR="00516E64">
        <w:rPr>
          <w:sz w:val="24"/>
          <w:szCs w:val="24"/>
        </w:rPr>
        <w:t>.</w:t>
      </w:r>
    </w:p>
    <w:p w:rsidR="002A42AA" w:rsidRDefault="002A42AA" w:rsidP="004E5F07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189" w:rsidRPr="00305189" w:rsidRDefault="00305189" w:rsidP="00305189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5189">
        <w:rPr>
          <w:sz w:val="24"/>
          <w:szCs w:val="24"/>
        </w:rPr>
        <w:t xml:space="preserve">Príloha k </w:t>
      </w:r>
      <w:r w:rsidRPr="00305189">
        <w:rPr>
          <w:bCs/>
          <w:sz w:val="24"/>
          <w:szCs w:val="24"/>
        </w:rPr>
        <w:t xml:space="preserve">Schéme minimálnej pomoci na opatrenie 3. 2 Podpora činností v oblasti vidieckeho cestovného ruchu – časť A </w:t>
      </w:r>
      <w:r w:rsidRPr="00305189" w:rsidDel="005428A1">
        <w:rPr>
          <w:bCs/>
          <w:sz w:val="24"/>
          <w:szCs w:val="24"/>
        </w:rPr>
        <w:t xml:space="preserve"> </w:t>
      </w:r>
      <w:r w:rsidRPr="00305189">
        <w:rPr>
          <w:bCs/>
          <w:sz w:val="24"/>
          <w:szCs w:val="24"/>
        </w:rPr>
        <w:t xml:space="preserve">implementované prostredníctvom osi 4 Leader - </w:t>
      </w:r>
      <w:r w:rsidRPr="00305189">
        <w:rPr>
          <w:sz w:val="24"/>
          <w:szCs w:val="24"/>
        </w:rPr>
        <w:t>Definícia mikropodnikov, malých a stredných podnikov</w:t>
      </w:r>
      <w:r w:rsidR="007D6797">
        <w:rPr>
          <w:sz w:val="24"/>
          <w:szCs w:val="24"/>
        </w:rPr>
        <w:t>.</w:t>
      </w:r>
    </w:p>
    <w:p w:rsidR="00305189" w:rsidRPr="00305189" w:rsidRDefault="00305189" w:rsidP="00305189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5189">
        <w:rPr>
          <w:bCs/>
          <w:sz w:val="24"/>
          <w:szCs w:val="24"/>
        </w:rPr>
        <w:t xml:space="preserve"> </w:t>
      </w:r>
    </w:p>
    <w:p w:rsidR="006360E3" w:rsidRDefault="007D6797" w:rsidP="004E5F07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55F0F" w:rsidRPr="00455F0F">
        <w:rPr>
          <w:sz w:val="24"/>
          <w:szCs w:val="24"/>
        </w:rPr>
        <w:t xml:space="preserve">Príloha k </w:t>
      </w:r>
      <w:r w:rsidR="00455F0F" w:rsidRPr="00455F0F">
        <w:rPr>
          <w:bCs/>
          <w:sz w:val="24"/>
          <w:szCs w:val="24"/>
        </w:rPr>
        <w:t xml:space="preserve">Schéme minimálnej pomoci na opatrenie 3. 2 Podpora činností v oblasti vidieckeho cestovného ruchu – časť A </w:t>
      </w:r>
      <w:r w:rsidR="00455F0F" w:rsidRPr="00455F0F" w:rsidDel="005428A1">
        <w:rPr>
          <w:bCs/>
          <w:sz w:val="24"/>
          <w:szCs w:val="24"/>
        </w:rPr>
        <w:t xml:space="preserve"> </w:t>
      </w:r>
      <w:r w:rsidR="00455F0F" w:rsidRPr="00455F0F">
        <w:rPr>
          <w:bCs/>
          <w:sz w:val="24"/>
          <w:szCs w:val="24"/>
        </w:rPr>
        <w:t>implementované prostredníctvom osi 4 Leader</w:t>
      </w:r>
    </w:p>
    <w:p w:rsidR="00305189" w:rsidRDefault="00305189" w:rsidP="000F30FA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60E3" w:rsidRPr="006360E3" w:rsidRDefault="006360E3" w:rsidP="000F30FA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360E3">
        <w:rPr>
          <w:sz w:val="24"/>
          <w:szCs w:val="24"/>
        </w:rPr>
        <w:t>Definícia mikropodnikov, malých a stredných podnikov</w:t>
      </w:r>
    </w:p>
    <w:p w:rsidR="006360E3" w:rsidRPr="000F30FA" w:rsidRDefault="006360E3" w:rsidP="007D6797">
      <w:pPr>
        <w:tabs>
          <w:tab w:val="left" w:pos="360"/>
        </w:tabs>
        <w:autoSpaceDE w:val="0"/>
        <w:autoSpaceDN w:val="0"/>
        <w:adjustRightInd w:val="0"/>
        <w:jc w:val="center"/>
      </w:pPr>
      <w:r w:rsidRPr="000F30FA">
        <w:t>(</w:t>
      </w:r>
      <w:r w:rsidR="007D6797">
        <w:t>nasledujúca definícia mikropodnikov, malých a stredných podnikov tvorí prílohu I nariadenia Komisie (ES) č. 800/2008</w:t>
      </w:r>
      <w:r w:rsidRPr="000F30FA">
        <w:t>)</w:t>
      </w:r>
    </w:p>
    <w:p w:rsidR="006360E3" w:rsidRPr="006360E3" w:rsidRDefault="000F30FA" w:rsidP="006360E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60E3" w:rsidRPr="006360E3" w:rsidRDefault="006360E3" w:rsidP="006360E3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360E3">
        <w:rPr>
          <w:sz w:val="24"/>
          <w:szCs w:val="24"/>
        </w:rPr>
        <w:t>Článok 1</w:t>
      </w:r>
    </w:p>
    <w:p w:rsidR="006360E3" w:rsidRPr="006360E3" w:rsidRDefault="006360E3" w:rsidP="006360E3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360E3">
        <w:rPr>
          <w:sz w:val="24"/>
          <w:szCs w:val="24"/>
        </w:rPr>
        <w:t>Podnik</w:t>
      </w:r>
    </w:p>
    <w:p w:rsidR="006360E3" w:rsidRPr="006360E3" w:rsidRDefault="006360E3" w:rsidP="006360E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360E3">
        <w:rPr>
          <w:sz w:val="24"/>
          <w:szCs w:val="24"/>
        </w:rPr>
        <w:t>Za podnik sa považuje každý subjekt, ktorý vykonáva hospodársku čin</w:t>
      </w:r>
      <w:r>
        <w:rPr>
          <w:sz w:val="24"/>
          <w:szCs w:val="24"/>
        </w:rPr>
        <w:t xml:space="preserve">nosť bez ohľadu na jeho právnu </w:t>
      </w:r>
      <w:r w:rsidRPr="006360E3">
        <w:rPr>
          <w:sz w:val="24"/>
          <w:szCs w:val="24"/>
        </w:rPr>
        <w:t>formu. Sem patria najmä samostatne zárobkovo  činné osoby a rod</w:t>
      </w:r>
      <w:r>
        <w:rPr>
          <w:sz w:val="24"/>
          <w:szCs w:val="24"/>
        </w:rPr>
        <w:t xml:space="preserve">inné podniky, ktoré vykonávajú </w:t>
      </w:r>
      <w:r w:rsidRPr="006360E3">
        <w:rPr>
          <w:sz w:val="24"/>
          <w:szCs w:val="24"/>
        </w:rPr>
        <w:t>remeselnícke alebo iné  činnosti a partnerstvá alebo združeni</w:t>
      </w:r>
      <w:r>
        <w:rPr>
          <w:sz w:val="24"/>
          <w:szCs w:val="24"/>
        </w:rPr>
        <w:t xml:space="preserve">a, ktoré pravidelne vykonávajú </w:t>
      </w:r>
      <w:r w:rsidRPr="006360E3">
        <w:rPr>
          <w:sz w:val="24"/>
          <w:szCs w:val="24"/>
        </w:rPr>
        <w:t xml:space="preserve">hospodársku činnosť. </w:t>
      </w:r>
    </w:p>
    <w:p w:rsidR="006360E3" w:rsidRDefault="006360E3" w:rsidP="006360E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0E3" w:rsidRPr="006360E3" w:rsidRDefault="006360E3" w:rsidP="006360E3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360E3">
        <w:rPr>
          <w:sz w:val="24"/>
          <w:szCs w:val="24"/>
        </w:rPr>
        <w:t>Článok 2</w:t>
      </w:r>
    </w:p>
    <w:p w:rsidR="006360E3" w:rsidRPr="006360E3" w:rsidRDefault="006360E3" w:rsidP="006360E3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360E3">
        <w:rPr>
          <w:sz w:val="24"/>
          <w:szCs w:val="24"/>
        </w:rPr>
        <w:t>Počet pracovníkov a finančné limity určujúce kategórie podnikov</w:t>
      </w:r>
    </w:p>
    <w:p w:rsidR="006360E3" w:rsidRPr="006360E3" w:rsidRDefault="006360E3" w:rsidP="001B0B7C">
      <w:pPr>
        <w:numPr>
          <w:ilvl w:val="3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360E3">
        <w:rPr>
          <w:sz w:val="24"/>
          <w:szCs w:val="24"/>
        </w:rPr>
        <w:t xml:space="preserve">Kategóriu mikropodnikov, malých a stredných podnikov (MSP) tvoria podniky, ktoré </w:t>
      </w:r>
    </w:p>
    <w:p w:rsidR="006360E3" w:rsidRPr="006360E3" w:rsidRDefault="006360E3" w:rsidP="001B0B7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360E3">
        <w:rPr>
          <w:sz w:val="24"/>
          <w:szCs w:val="24"/>
        </w:rPr>
        <w:t>zamestnávajú menej ako 250 osôb a ktorých ročný obrat nepre</w:t>
      </w:r>
      <w:r>
        <w:rPr>
          <w:sz w:val="24"/>
          <w:szCs w:val="24"/>
        </w:rPr>
        <w:t xml:space="preserve">sahuje 50 miliónov EUR a/alebo </w:t>
      </w:r>
      <w:r w:rsidRPr="006360E3">
        <w:rPr>
          <w:sz w:val="24"/>
          <w:szCs w:val="24"/>
        </w:rPr>
        <w:t xml:space="preserve">celková ročná súvaha nepresahuje 43 miliónov EUR. </w:t>
      </w:r>
    </w:p>
    <w:p w:rsidR="006360E3" w:rsidRPr="006360E3" w:rsidRDefault="006360E3" w:rsidP="001B0B7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360E3">
        <w:rPr>
          <w:sz w:val="24"/>
          <w:szCs w:val="24"/>
        </w:rPr>
        <w:t>V rámci kategórie MSP sa malý podnik definuje ako podnik, ktor</w:t>
      </w:r>
      <w:r>
        <w:rPr>
          <w:sz w:val="24"/>
          <w:szCs w:val="24"/>
        </w:rPr>
        <w:t xml:space="preserve">ý zamestnáva menej ako 50 osôb </w:t>
      </w:r>
      <w:r w:rsidRPr="006360E3">
        <w:rPr>
          <w:sz w:val="24"/>
          <w:szCs w:val="24"/>
        </w:rPr>
        <w:t xml:space="preserve">a ktorého ročný obrat a /alebo celková ročná súvaha nepresahuje 10 miliónov EUR. </w:t>
      </w:r>
    </w:p>
    <w:p w:rsidR="006360E3" w:rsidRPr="006360E3" w:rsidRDefault="006360E3" w:rsidP="001B0B7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360E3">
        <w:rPr>
          <w:sz w:val="24"/>
          <w:szCs w:val="24"/>
        </w:rPr>
        <w:t>V rámci kategórie MSP sa mikropodnik definuje ako podnik, ktor</w:t>
      </w:r>
      <w:r>
        <w:rPr>
          <w:sz w:val="24"/>
          <w:szCs w:val="24"/>
        </w:rPr>
        <w:t xml:space="preserve">ý zamestnáva menej ako 10 osôb </w:t>
      </w:r>
      <w:r w:rsidRPr="006360E3">
        <w:rPr>
          <w:sz w:val="24"/>
          <w:szCs w:val="24"/>
        </w:rPr>
        <w:t xml:space="preserve">a ktorého ročný obrat a /alebo celková ročná súvaha nepresahuje 2 milión EUR. </w:t>
      </w:r>
    </w:p>
    <w:p w:rsidR="006360E3" w:rsidRPr="006360E3" w:rsidRDefault="006360E3" w:rsidP="006360E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360E3">
        <w:rPr>
          <w:sz w:val="24"/>
          <w:szCs w:val="24"/>
        </w:rPr>
        <w:t xml:space="preserve"> </w:t>
      </w:r>
    </w:p>
    <w:p w:rsidR="006360E3" w:rsidRPr="006360E3" w:rsidRDefault="006360E3" w:rsidP="006360E3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360E3">
        <w:rPr>
          <w:sz w:val="24"/>
          <w:szCs w:val="24"/>
        </w:rPr>
        <w:t>Článok 3</w:t>
      </w:r>
    </w:p>
    <w:p w:rsidR="006360E3" w:rsidRPr="006360E3" w:rsidRDefault="006360E3" w:rsidP="006360E3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360E3">
        <w:rPr>
          <w:sz w:val="24"/>
          <w:szCs w:val="24"/>
        </w:rPr>
        <w:t>Typy podnikov, ktoré sa zohľadňujú pri výpočte počtu pracovníkov a finančných čiastok</w:t>
      </w:r>
    </w:p>
    <w:p w:rsidR="004A5D35" w:rsidRDefault="006360E3" w:rsidP="001B0B7C">
      <w:pPr>
        <w:numPr>
          <w:ilvl w:val="3"/>
          <w:numId w:val="7"/>
        </w:numPr>
        <w:tabs>
          <w:tab w:val="clear" w:pos="288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360E3">
        <w:rPr>
          <w:sz w:val="24"/>
          <w:szCs w:val="24"/>
        </w:rPr>
        <w:t xml:space="preserve">„„Samostatný podnik“ je každý podnik, ktorý nie je zatriedený </w:t>
      </w:r>
      <w:r>
        <w:rPr>
          <w:sz w:val="24"/>
          <w:szCs w:val="24"/>
        </w:rPr>
        <w:t xml:space="preserve">ako partnerský podnik v zmysle </w:t>
      </w:r>
      <w:r w:rsidRPr="006360E3">
        <w:rPr>
          <w:sz w:val="24"/>
          <w:szCs w:val="24"/>
        </w:rPr>
        <w:t>odseku 2 alebo prepojený podnik v zmysle odseku 3.</w:t>
      </w:r>
    </w:p>
    <w:p w:rsidR="004A5D35" w:rsidRPr="004A5D35" w:rsidRDefault="004A5D35" w:rsidP="001B0B7C">
      <w:pPr>
        <w:numPr>
          <w:ilvl w:val="3"/>
          <w:numId w:val="7"/>
        </w:numPr>
        <w:tabs>
          <w:tab w:val="clear" w:pos="288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„Partnerské podniky“ sú podniky, ktoré nie sú zatriedené ako prepojené podniky v zmysle odseku 3 a medzi ktorými je nasledovný vzťah: podnik (vyššie postavený podnik) vlastní, buď samostatne alebo spoločne s jedným alebo viacerými prepojenými podnikmi v zmysle odseku 3, 25 % alebo viac imania alebo hlasovacích práv iného podniku (nižšie postavený podnik). </w:t>
      </w:r>
    </w:p>
    <w:p w:rsidR="004A5D35" w:rsidRPr="004A5D35" w:rsidRDefault="004A5D35" w:rsidP="004A5D35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5D35">
        <w:rPr>
          <w:sz w:val="24"/>
          <w:szCs w:val="24"/>
        </w:rPr>
        <w:t>Podnik sa však môže považovať za samostatný bez partnerského podnik</w:t>
      </w:r>
      <w:r>
        <w:rPr>
          <w:sz w:val="24"/>
          <w:szCs w:val="24"/>
        </w:rPr>
        <w:t xml:space="preserve">u, aj pokiaľ sa dosiahne alebo </w:t>
      </w:r>
      <w:r w:rsidRPr="004A5D35">
        <w:rPr>
          <w:sz w:val="24"/>
          <w:szCs w:val="24"/>
        </w:rPr>
        <w:t xml:space="preserve">prekročí uvedená 25 % hranica za predpokladu, že títo investori nie </w:t>
      </w:r>
      <w:r>
        <w:rPr>
          <w:sz w:val="24"/>
          <w:szCs w:val="24"/>
        </w:rPr>
        <w:t xml:space="preserve">sú v zmysle odseku 3 prepojení </w:t>
      </w:r>
      <w:r w:rsidRPr="004A5D35">
        <w:rPr>
          <w:sz w:val="24"/>
          <w:szCs w:val="24"/>
        </w:rPr>
        <w:t xml:space="preserve">individuálne alebo spoločne do príslušného podniku: </w:t>
      </w:r>
    </w:p>
    <w:p w:rsidR="004A5D35" w:rsidRPr="004A5D35" w:rsidRDefault="004A5D35" w:rsidP="001B0B7C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5D35">
        <w:rPr>
          <w:sz w:val="24"/>
          <w:szCs w:val="24"/>
        </w:rPr>
        <w:t>s verejnými investičnými spoločnosťami, spoločnosťami investujúcimi do rizikového kapitálu, fyzickými osobami alebo skupinami fyzických osôb, ktoré sa pr</w:t>
      </w:r>
      <w:r>
        <w:rPr>
          <w:sz w:val="24"/>
          <w:szCs w:val="24"/>
        </w:rPr>
        <w:t xml:space="preserve">avidelne zúčastňujú rizikových </w:t>
      </w:r>
      <w:r w:rsidRPr="004A5D35">
        <w:rPr>
          <w:sz w:val="24"/>
          <w:szCs w:val="24"/>
        </w:rPr>
        <w:t>investičných aktivít, ktoré investujú vlastný kapitál v nekót</w:t>
      </w:r>
      <w:r>
        <w:rPr>
          <w:sz w:val="24"/>
          <w:szCs w:val="24"/>
        </w:rPr>
        <w:t xml:space="preserve">ovaných firmách (podnikateľskí </w:t>
      </w:r>
      <w:r w:rsidRPr="004A5D35">
        <w:rPr>
          <w:sz w:val="24"/>
          <w:szCs w:val="24"/>
        </w:rPr>
        <w:t>anjeli) za predpokladu, že celkové investície týchto podnikateľských anjelo</w:t>
      </w:r>
      <w:r>
        <w:rPr>
          <w:sz w:val="24"/>
          <w:szCs w:val="24"/>
        </w:rPr>
        <w:t xml:space="preserve">v v rovnakom </w:t>
      </w:r>
      <w:r w:rsidRPr="004A5D35">
        <w:rPr>
          <w:sz w:val="24"/>
          <w:szCs w:val="24"/>
        </w:rPr>
        <w:t xml:space="preserve">podniku sú nižšie ako 1 250 000 EUR; </w:t>
      </w:r>
    </w:p>
    <w:p w:rsidR="004A5D35" w:rsidRPr="004A5D35" w:rsidRDefault="004A5D35" w:rsidP="001B0B7C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s univerzitami alebo neziskovými výskumnými strediskami; </w:t>
      </w:r>
    </w:p>
    <w:p w:rsidR="004A5D35" w:rsidRDefault="004A5D35" w:rsidP="001B0B7C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inštitucionálnymi investormi, vrátane regionálnych rozvojových fondov; </w:t>
      </w:r>
    </w:p>
    <w:p w:rsidR="004A5D35" w:rsidRDefault="004A5D35" w:rsidP="001B0B7C">
      <w:pPr>
        <w:numPr>
          <w:ilvl w:val="0"/>
          <w:numId w:val="13"/>
        </w:numPr>
        <w:rPr>
          <w:sz w:val="24"/>
          <w:szCs w:val="24"/>
        </w:rPr>
      </w:pPr>
      <w:r w:rsidRPr="004A5D35">
        <w:rPr>
          <w:sz w:val="24"/>
          <w:szCs w:val="24"/>
        </w:rPr>
        <w:t xml:space="preserve">orgánmi miestnej samosprávy, ktoré majú ročný rozpočet menší ako 10 miliónov EUR </w:t>
      </w:r>
      <w:r>
        <w:rPr>
          <w:sz w:val="24"/>
          <w:szCs w:val="24"/>
        </w:rPr>
        <w:t xml:space="preserve"> </w:t>
      </w:r>
    </w:p>
    <w:p w:rsidR="004A5D35" w:rsidRDefault="004A5D35" w:rsidP="004A5D35">
      <w:pPr>
        <w:ind w:left="720"/>
        <w:rPr>
          <w:sz w:val="24"/>
          <w:szCs w:val="24"/>
        </w:rPr>
      </w:pPr>
      <w:r w:rsidRPr="004A5D35">
        <w:rPr>
          <w:sz w:val="24"/>
          <w:szCs w:val="24"/>
        </w:rPr>
        <w:t xml:space="preserve">a menej ako 5 000 obyvateľov. </w:t>
      </w:r>
    </w:p>
    <w:p w:rsidR="004A5D35" w:rsidRPr="004A5D35" w:rsidRDefault="004A5D35" w:rsidP="004A5D35">
      <w:pPr>
        <w:rPr>
          <w:sz w:val="24"/>
          <w:szCs w:val="24"/>
        </w:rPr>
      </w:pPr>
      <w:r w:rsidRPr="004A5D35">
        <w:rPr>
          <w:sz w:val="24"/>
          <w:szCs w:val="24"/>
        </w:rPr>
        <w:t xml:space="preserve">3.  „Prepojené podniky“ sú podniky, ktoré  majú nasledovné vzájomné vzťahy:  </w:t>
      </w:r>
    </w:p>
    <w:p w:rsidR="004A5D35" w:rsidRPr="004A5D35" w:rsidRDefault="004A5D35" w:rsidP="001B0B7C">
      <w:pPr>
        <w:numPr>
          <w:ilvl w:val="0"/>
          <w:numId w:val="14"/>
        </w:numPr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podnik má väčšinu hlasovacích práv akcionárov alebo členov v inom podniku; </w:t>
      </w:r>
    </w:p>
    <w:p w:rsidR="004A5D35" w:rsidRPr="004A5D35" w:rsidRDefault="004A5D35" w:rsidP="001B0B7C">
      <w:pPr>
        <w:numPr>
          <w:ilvl w:val="0"/>
          <w:numId w:val="14"/>
        </w:numPr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podnik má právo vymenovať alebo odvolať väčšinu  členov správneho, riadiaceho alebo </w:t>
      </w:r>
    </w:p>
    <w:p w:rsidR="004A5D35" w:rsidRPr="004A5D35" w:rsidRDefault="004A5D35" w:rsidP="001B0B7C">
      <w:pPr>
        <w:numPr>
          <w:ilvl w:val="0"/>
          <w:numId w:val="14"/>
        </w:numPr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dozorného orgánu iného podniku; </w:t>
      </w:r>
    </w:p>
    <w:p w:rsidR="004A5D35" w:rsidRPr="004A5D35" w:rsidRDefault="004A5D35" w:rsidP="001B0B7C">
      <w:pPr>
        <w:numPr>
          <w:ilvl w:val="0"/>
          <w:numId w:val="14"/>
        </w:numPr>
        <w:jc w:val="both"/>
        <w:rPr>
          <w:sz w:val="24"/>
          <w:szCs w:val="24"/>
        </w:rPr>
      </w:pPr>
      <w:r w:rsidRPr="004A5D35">
        <w:rPr>
          <w:sz w:val="24"/>
          <w:szCs w:val="24"/>
        </w:rPr>
        <w:t>podnik má právo dominantne pôsobiť na iný podnik na zákl</w:t>
      </w:r>
      <w:r>
        <w:rPr>
          <w:sz w:val="24"/>
          <w:szCs w:val="24"/>
        </w:rPr>
        <w:t xml:space="preserve">ade zmluvy uzatvorenej s týmto </w:t>
      </w:r>
      <w:r w:rsidRPr="004A5D35">
        <w:rPr>
          <w:sz w:val="24"/>
          <w:szCs w:val="24"/>
        </w:rPr>
        <w:t xml:space="preserve">podnikom alebo na základe ustanovenia v jeho spoločenskej zmluve alebo stanovách; </w:t>
      </w:r>
    </w:p>
    <w:p w:rsidR="004A5D35" w:rsidRPr="004A5D35" w:rsidRDefault="004A5D35" w:rsidP="001B0B7C">
      <w:pPr>
        <w:numPr>
          <w:ilvl w:val="0"/>
          <w:numId w:val="14"/>
        </w:numPr>
        <w:jc w:val="both"/>
        <w:rPr>
          <w:sz w:val="24"/>
          <w:szCs w:val="24"/>
        </w:rPr>
      </w:pPr>
      <w:r w:rsidRPr="004A5D35">
        <w:rPr>
          <w:sz w:val="24"/>
          <w:szCs w:val="24"/>
        </w:rPr>
        <w:t>podnik, ktorý je akcionárom alebo  členom iného podniku, sá</w:t>
      </w:r>
      <w:r>
        <w:rPr>
          <w:sz w:val="24"/>
          <w:szCs w:val="24"/>
        </w:rPr>
        <w:t xml:space="preserve">m kontroluje na základe zmluvy </w:t>
      </w:r>
      <w:r w:rsidRPr="004A5D35">
        <w:rPr>
          <w:sz w:val="24"/>
          <w:szCs w:val="24"/>
        </w:rPr>
        <w:t>s inými akcionármi v tomto podniku alebo  členmi tohto po</w:t>
      </w:r>
      <w:r>
        <w:rPr>
          <w:sz w:val="24"/>
          <w:szCs w:val="24"/>
        </w:rPr>
        <w:t xml:space="preserve">dniku väčšinu hlasovacích práv </w:t>
      </w:r>
      <w:r w:rsidRPr="004A5D35">
        <w:rPr>
          <w:sz w:val="24"/>
          <w:szCs w:val="24"/>
        </w:rPr>
        <w:t xml:space="preserve">akcionárov alebo členov v tomto podniku. </w:t>
      </w:r>
    </w:p>
    <w:p w:rsidR="004A5D35" w:rsidRPr="004A5D35" w:rsidRDefault="004A5D35" w:rsidP="00F70737">
      <w:pPr>
        <w:jc w:val="both"/>
        <w:rPr>
          <w:sz w:val="24"/>
          <w:szCs w:val="24"/>
        </w:rPr>
      </w:pPr>
      <w:r w:rsidRPr="004A5D35">
        <w:rPr>
          <w:sz w:val="24"/>
          <w:szCs w:val="24"/>
        </w:rPr>
        <w:t>Existuje predpoklad, že dominantný vplyv neexistuje, ak sa invest</w:t>
      </w:r>
      <w:r w:rsidR="00F70737">
        <w:rPr>
          <w:sz w:val="24"/>
          <w:szCs w:val="24"/>
        </w:rPr>
        <w:t xml:space="preserve">ori uvedení v druhom pododseku </w:t>
      </w:r>
      <w:r w:rsidRPr="004A5D35">
        <w:rPr>
          <w:sz w:val="24"/>
          <w:szCs w:val="24"/>
        </w:rPr>
        <w:t>odseku 2 nezapoja priamo alebo nepriamo do vedenia príslušného podni</w:t>
      </w:r>
      <w:r w:rsidR="00F70737">
        <w:rPr>
          <w:sz w:val="24"/>
          <w:szCs w:val="24"/>
        </w:rPr>
        <w:t xml:space="preserve">ku bez toho, aby boli dotknuté </w:t>
      </w:r>
      <w:r w:rsidRPr="004A5D35">
        <w:rPr>
          <w:sz w:val="24"/>
          <w:szCs w:val="24"/>
        </w:rPr>
        <w:t xml:space="preserve">ich práva ako akcionárov alebo nezúčastnených spoločníkov. </w:t>
      </w:r>
    </w:p>
    <w:p w:rsidR="004A5D35" w:rsidRPr="004A5D35" w:rsidRDefault="004A5D35" w:rsidP="00F70737">
      <w:pPr>
        <w:jc w:val="both"/>
        <w:rPr>
          <w:sz w:val="24"/>
          <w:szCs w:val="24"/>
        </w:rPr>
      </w:pPr>
      <w:r w:rsidRPr="004A5D35">
        <w:rPr>
          <w:sz w:val="24"/>
          <w:szCs w:val="24"/>
        </w:rPr>
        <w:t>Podniky, ktoré sa nachádzajú v niektorom zo vzťahov uvedených v p</w:t>
      </w:r>
      <w:r w:rsidR="00F70737">
        <w:rPr>
          <w:sz w:val="24"/>
          <w:szCs w:val="24"/>
        </w:rPr>
        <w:t xml:space="preserve">rvom pododseku prostredníctvom </w:t>
      </w:r>
      <w:r w:rsidRPr="004A5D35">
        <w:rPr>
          <w:sz w:val="24"/>
          <w:szCs w:val="24"/>
        </w:rPr>
        <w:t>jedného alebo viacerých podnikov, alebo majú niektorého z investorov</w:t>
      </w:r>
      <w:r w:rsidR="00F70737">
        <w:rPr>
          <w:sz w:val="24"/>
          <w:szCs w:val="24"/>
        </w:rPr>
        <w:t xml:space="preserve"> uvedených v odseku 2, sa tiež </w:t>
      </w:r>
      <w:r w:rsidRPr="004A5D35">
        <w:rPr>
          <w:sz w:val="24"/>
          <w:szCs w:val="24"/>
        </w:rPr>
        <w:t xml:space="preserve">považujú za prepojené. </w:t>
      </w:r>
    </w:p>
    <w:p w:rsidR="00F70737" w:rsidRDefault="00F70737" w:rsidP="00F70737">
      <w:pPr>
        <w:jc w:val="both"/>
        <w:rPr>
          <w:sz w:val="24"/>
          <w:szCs w:val="24"/>
        </w:rPr>
      </w:pPr>
    </w:p>
    <w:p w:rsidR="004A5D35" w:rsidRPr="004A5D35" w:rsidRDefault="004A5D35" w:rsidP="00F70737">
      <w:pPr>
        <w:jc w:val="both"/>
        <w:rPr>
          <w:sz w:val="24"/>
          <w:szCs w:val="24"/>
        </w:rPr>
      </w:pPr>
      <w:r w:rsidRPr="004A5D35">
        <w:rPr>
          <w:sz w:val="24"/>
          <w:szCs w:val="24"/>
        </w:rPr>
        <w:t>Podniky, ktoré sa nachádzajú v jednom alebo inom z takýchto vzťa</w:t>
      </w:r>
      <w:r w:rsidR="00F70737">
        <w:rPr>
          <w:sz w:val="24"/>
          <w:szCs w:val="24"/>
        </w:rPr>
        <w:t xml:space="preserve">hov prostredníctvom fyzickej </w:t>
      </w:r>
      <w:r w:rsidRPr="004A5D35">
        <w:rPr>
          <w:sz w:val="24"/>
          <w:szCs w:val="24"/>
        </w:rPr>
        <w:t>osoby alebo skupiny fyzických osôb konajúcich spoločne, sa tiež pov</w:t>
      </w:r>
      <w:r w:rsidR="00F70737">
        <w:rPr>
          <w:sz w:val="24"/>
          <w:szCs w:val="24"/>
        </w:rPr>
        <w:t xml:space="preserve">ažujú za prepojené podniky, ak </w:t>
      </w:r>
      <w:r w:rsidRPr="004A5D35">
        <w:rPr>
          <w:sz w:val="24"/>
          <w:szCs w:val="24"/>
        </w:rPr>
        <w:t>sa podieľajú vo svojej  činnosti alebo  časti svojej  činnosti na rovn</w:t>
      </w:r>
      <w:r w:rsidR="00F70737">
        <w:rPr>
          <w:sz w:val="24"/>
          <w:szCs w:val="24"/>
        </w:rPr>
        <w:t xml:space="preserve">akom relevantnom trhu alebo na </w:t>
      </w:r>
      <w:r w:rsidRPr="004A5D35">
        <w:rPr>
          <w:sz w:val="24"/>
          <w:szCs w:val="24"/>
        </w:rPr>
        <w:t xml:space="preserve">priľahlých trhoch.  </w:t>
      </w:r>
    </w:p>
    <w:p w:rsidR="00F70737" w:rsidRDefault="00F70737" w:rsidP="00F70737">
      <w:pPr>
        <w:jc w:val="both"/>
        <w:rPr>
          <w:sz w:val="24"/>
          <w:szCs w:val="24"/>
        </w:rPr>
      </w:pPr>
    </w:p>
    <w:p w:rsidR="004A5D35" w:rsidRPr="004A5D35" w:rsidRDefault="004A5D35" w:rsidP="00F70737">
      <w:pPr>
        <w:jc w:val="both"/>
        <w:rPr>
          <w:sz w:val="24"/>
          <w:szCs w:val="24"/>
        </w:rPr>
      </w:pPr>
      <w:r w:rsidRPr="004A5D35">
        <w:rPr>
          <w:sz w:val="24"/>
          <w:szCs w:val="24"/>
        </w:rPr>
        <w:t>Za „priľahlý trh“ sa považuje trh pre produkt alebo službu, ktorý sa n</w:t>
      </w:r>
      <w:r w:rsidR="00F70737">
        <w:rPr>
          <w:sz w:val="24"/>
          <w:szCs w:val="24"/>
        </w:rPr>
        <w:t xml:space="preserve">achádza priamo vo vyššej alebo </w:t>
      </w:r>
      <w:r w:rsidRPr="004A5D35">
        <w:rPr>
          <w:sz w:val="24"/>
          <w:szCs w:val="24"/>
        </w:rPr>
        <w:t xml:space="preserve">nižšej pozícii („súprudne alebo protiprúdne“) od relevantného trhu. </w:t>
      </w:r>
    </w:p>
    <w:p w:rsidR="00F70737" w:rsidRDefault="00F70737" w:rsidP="004A5D35">
      <w:pPr>
        <w:rPr>
          <w:sz w:val="24"/>
          <w:szCs w:val="24"/>
        </w:rPr>
      </w:pPr>
    </w:p>
    <w:p w:rsidR="004A5D35" w:rsidRPr="004A5D35" w:rsidRDefault="004A5D35" w:rsidP="001B0B7C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Okrem prípadov uvedených v odseku 2, druhom pododseku sa podnik nemôže považovať </w:t>
      </w:r>
      <w:r w:rsidR="00F70737">
        <w:rPr>
          <w:sz w:val="24"/>
          <w:szCs w:val="24"/>
        </w:rPr>
        <w:t xml:space="preserve">za MSP, </w:t>
      </w:r>
      <w:r w:rsidRPr="004A5D35">
        <w:rPr>
          <w:sz w:val="24"/>
          <w:szCs w:val="24"/>
        </w:rPr>
        <w:t>ak 25 % alebo viac imania alebo hlasovacích práv je priamo</w:t>
      </w:r>
      <w:r w:rsidR="00F70737">
        <w:rPr>
          <w:sz w:val="24"/>
          <w:szCs w:val="24"/>
        </w:rPr>
        <w:t xml:space="preserve"> alebo nepriamo kontrolovaných </w:t>
      </w:r>
      <w:r w:rsidRPr="004A5D35">
        <w:rPr>
          <w:sz w:val="24"/>
          <w:szCs w:val="24"/>
        </w:rPr>
        <w:t xml:space="preserve">spoločne alebo individuálne jedným alebo viacerými verejnými orgánmi. </w:t>
      </w:r>
    </w:p>
    <w:p w:rsidR="004A5D35" w:rsidRPr="004A5D35" w:rsidRDefault="004A5D35" w:rsidP="001B0B7C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A5D35">
        <w:rPr>
          <w:sz w:val="24"/>
          <w:szCs w:val="24"/>
        </w:rPr>
        <w:t>Podniky môžu poskytnúť vyhlásenie o postavení ako samostatný podnik, partnerský po</w:t>
      </w:r>
      <w:r w:rsidR="00F70737">
        <w:rPr>
          <w:sz w:val="24"/>
          <w:szCs w:val="24"/>
        </w:rPr>
        <w:t xml:space="preserve">dnik alebo </w:t>
      </w:r>
      <w:r w:rsidRPr="004A5D35">
        <w:rPr>
          <w:sz w:val="24"/>
          <w:szCs w:val="24"/>
        </w:rPr>
        <w:t>prepojený podnik, vrátane údajov týkajúcich sa hraníc stanove</w:t>
      </w:r>
      <w:r w:rsidR="00F70737">
        <w:rPr>
          <w:sz w:val="24"/>
          <w:szCs w:val="24"/>
        </w:rPr>
        <w:t xml:space="preserve">ných v článku 2. Vyhlásenie sa </w:t>
      </w:r>
      <w:r w:rsidRPr="004A5D35">
        <w:rPr>
          <w:sz w:val="24"/>
          <w:szCs w:val="24"/>
        </w:rPr>
        <w:t>môže poskytnúť, aj keď je kapitál rozptýlený tak, že nie je možné</w:t>
      </w:r>
      <w:r w:rsidR="00F70737">
        <w:rPr>
          <w:sz w:val="24"/>
          <w:szCs w:val="24"/>
        </w:rPr>
        <w:t xml:space="preserve"> presne určiť, kto ho vlastní, </w:t>
      </w:r>
      <w:r w:rsidRPr="004A5D35">
        <w:rPr>
          <w:sz w:val="24"/>
          <w:szCs w:val="24"/>
        </w:rPr>
        <w:t>v takomto prípade podnik môže poskytnúť vyhlásenie v do</w:t>
      </w:r>
      <w:r w:rsidR="00F70737">
        <w:rPr>
          <w:sz w:val="24"/>
          <w:szCs w:val="24"/>
        </w:rPr>
        <w:t xml:space="preserve">brej viere, že môže odôvodnene </w:t>
      </w:r>
      <w:r w:rsidRPr="004A5D35">
        <w:rPr>
          <w:sz w:val="24"/>
          <w:szCs w:val="24"/>
        </w:rPr>
        <w:t xml:space="preserve">predpokladať, že 25 % a viac jeho podniku nevlastní jeden </w:t>
      </w:r>
      <w:r w:rsidR="00F70737">
        <w:rPr>
          <w:sz w:val="24"/>
          <w:szCs w:val="24"/>
        </w:rPr>
        <w:t xml:space="preserve">podnik alebo spoločne navzájom </w:t>
      </w:r>
      <w:r w:rsidRPr="004A5D35">
        <w:rPr>
          <w:sz w:val="24"/>
          <w:szCs w:val="24"/>
        </w:rPr>
        <w:t>prepojené podniky. Takéto vyhlásenia sa poskytnú bez toho, ab</w:t>
      </w:r>
      <w:r w:rsidR="00F70737">
        <w:rPr>
          <w:sz w:val="24"/>
          <w:szCs w:val="24"/>
        </w:rPr>
        <w:t xml:space="preserve">y boli dotknuté kontroly alebo </w:t>
      </w:r>
      <w:r w:rsidRPr="004A5D35">
        <w:rPr>
          <w:sz w:val="24"/>
          <w:szCs w:val="24"/>
        </w:rPr>
        <w:t xml:space="preserve">vyšetrovania ustanovené podľa pravidiel spoločenstva. </w:t>
      </w:r>
    </w:p>
    <w:p w:rsidR="004A5D35" w:rsidRPr="004A5D35" w:rsidRDefault="004A5D35" w:rsidP="004A5D35">
      <w:pPr>
        <w:rPr>
          <w:sz w:val="24"/>
          <w:szCs w:val="24"/>
        </w:rPr>
      </w:pPr>
      <w:r w:rsidRPr="004A5D35">
        <w:rPr>
          <w:sz w:val="24"/>
          <w:szCs w:val="24"/>
        </w:rPr>
        <w:t xml:space="preserve"> </w:t>
      </w:r>
    </w:p>
    <w:p w:rsidR="004A5D35" w:rsidRPr="004A5D35" w:rsidRDefault="004A5D35" w:rsidP="00F70737">
      <w:pPr>
        <w:jc w:val="center"/>
        <w:rPr>
          <w:sz w:val="24"/>
          <w:szCs w:val="24"/>
        </w:rPr>
      </w:pPr>
      <w:r w:rsidRPr="004A5D35">
        <w:rPr>
          <w:sz w:val="24"/>
          <w:szCs w:val="24"/>
        </w:rPr>
        <w:t>Článok 4</w:t>
      </w:r>
    </w:p>
    <w:p w:rsidR="004A5D35" w:rsidRDefault="004A5D35" w:rsidP="00F70737">
      <w:pPr>
        <w:jc w:val="center"/>
        <w:rPr>
          <w:sz w:val="24"/>
          <w:szCs w:val="24"/>
        </w:rPr>
      </w:pPr>
      <w:r w:rsidRPr="004A5D35">
        <w:rPr>
          <w:sz w:val="24"/>
          <w:szCs w:val="24"/>
        </w:rPr>
        <w:t>Údaje používané v prípade počtu pracovníkov a finančných čiastok a referenčného obdobia</w:t>
      </w:r>
    </w:p>
    <w:p w:rsidR="00F70737" w:rsidRPr="004A5D35" w:rsidRDefault="00F70737" w:rsidP="00F70737">
      <w:pPr>
        <w:jc w:val="center"/>
        <w:rPr>
          <w:sz w:val="24"/>
          <w:szCs w:val="24"/>
        </w:rPr>
      </w:pPr>
    </w:p>
    <w:p w:rsidR="004A5D35" w:rsidRPr="004A5D35" w:rsidRDefault="004A5D35" w:rsidP="001B0B7C">
      <w:pPr>
        <w:numPr>
          <w:ilvl w:val="6"/>
          <w:numId w:val="16"/>
        </w:numPr>
        <w:ind w:left="284" w:hanging="284"/>
        <w:jc w:val="both"/>
        <w:rPr>
          <w:sz w:val="24"/>
          <w:szCs w:val="24"/>
        </w:rPr>
      </w:pPr>
      <w:r w:rsidRPr="004A5D35">
        <w:rPr>
          <w:sz w:val="24"/>
          <w:szCs w:val="24"/>
        </w:rPr>
        <w:t>Údaje, ktoré je potrebné použiť v prípade počtu pracovníkov a</w:t>
      </w:r>
      <w:r w:rsidR="00F70737">
        <w:rPr>
          <w:sz w:val="24"/>
          <w:szCs w:val="24"/>
        </w:rPr>
        <w:t xml:space="preserve"> finančných  čiastok, sú údaje </w:t>
      </w:r>
      <w:r w:rsidRPr="004A5D35">
        <w:rPr>
          <w:sz w:val="24"/>
          <w:szCs w:val="24"/>
        </w:rPr>
        <w:t>týkajúce sa posledného schváleného účtovného obdobia a</w:t>
      </w:r>
      <w:r w:rsidR="00F70737">
        <w:rPr>
          <w:sz w:val="24"/>
          <w:szCs w:val="24"/>
        </w:rPr>
        <w:t xml:space="preserve"> vypočítané na ročnom základe. </w:t>
      </w:r>
      <w:r w:rsidRPr="004A5D35">
        <w:rPr>
          <w:sz w:val="24"/>
          <w:szCs w:val="24"/>
        </w:rPr>
        <w:t>Zohľadňujú sa odo dňa účtovnej závierky. Výška zvolené</w:t>
      </w:r>
      <w:r w:rsidR="00F70737">
        <w:rPr>
          <w:sz w:val="24"/>
          <w:szCs w:val="24"/>
        </w:rPr>
        <w:t xml:space="preserve">ho obratu sa vypočíta bez dane </w:t>
      </w:r>
      <w:r w:rsidRPr="004A5D35">
        <w:rPr>
          <w:sz w:val="24"/>
          <w:szCs w:val="24"/>
        </w:rPr>
        <w:t xml:space="preserve">z pridanej hodnoty (DPH) a iných nepriamych daní. </w:t>
      </w:r>
    </w:p>
    <w:p w:rsidR="004A5D35" w:rsidRPr="004A5D35" w:rsidRDefault="004A5D35" w:rsidP="001B0B7C">
      <w:pPr>
        <w:numPr>
          <w:ilvl w:val="3"/>
          <w:numId w:val="16"/>
        </w:numPr>
        <w:ind w:left="284" w:hanging="284"/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Ak podnik v deň účtovnej závierky zistí na ročnom základe, že počet zamestnancov alebo </w:t>
      </w:r>
    </w:p>
    <w:p w:rsidR="004A5D35" w:rsidRPr="004A5D35" w:rsidRDefault="004A5D35" w:rsidP="000F30FA">
      <w:pPr>
        <w:ind w:left="284"/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finančné limity prekročili, alebo sú pod limitmi stanovenými v článku 2, nebude to mať za </w:t>
      </w:r>
    </w:p>
    <w:p w:rsidR="000F30FA" w:rsidRDefault="004A5D35" w:rsidP="000F30FA">
      <w:pPr>
        <w:ind w:left="284"/>
        <w:jc w:val="both"/>
        <w:rPr>
          <w:sz w:val="24"/>
          <w:szCs w:val="24"/>
        </w:rPr>
      </w:pPr>
      <w:r w:rsidRPr="004A5D35">
        <w:rPr>
          <w:sz w:val="24"/>
          <w:szCs w:val="24"/>
        </w:rPr>
        <w:t xml:space="preserve">následok stratu alebo nadobudnutie štatútu stredného, malého alebo </w:t>
      </w:r>
      <w:r w:rsidR="00F70737">
        <w:rPr>
          <w:sz w:val="24"/>
          <w:szCs w:val="24"/>
        </w:rPr>
        <w:t xml:space="preserve">mikro podniku, pokiaľ sa tieto </w:t>
      </w:r>
      <w:r w:rsidRPr="004A5D35">
        <w:rPr>
          <w:sz w:val="24"/>
          <w:szCs w:val="24"/>
        </w:rPr>
        <w:t xml:space="preserve">limity neprekročili v dvoch po sebe nasledujúcich obdobiach.   </w:t>
      </w:r>
    </w:p>
    <w:p w:rsidR="00967716" w:rsidRDefault="000F30FA" w:rsidP="000F30F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5D35" w:rsidRPr="004A5D35">
        <w:rPr>
          <w:sz w:val="24"/>
          <w:szCs w:val="24"/>
        </w:rPr>
        <w:t>V prípade novozaložených podnikov, ktorých účtovné závierky ešte</w:t>
      </w:r>
      <w:r w:rsidR="00F70737">
        <w:rPr>
          <w:sz w:val="24"/>
          <w:szCs w:val="24"/>
        </w:rPr>
        <w:t xml:space="preserve"> neboli schválené, sa uplatnia </w:t>
      </w:r>
      <w:r w:rsidR="004A5D35" w:rsidRPr="004A5D35">
        <w:rPr>
          <w:sz w:val="24"/>
          <w:szCs w:val="24"/>
        </w:rPr>
        <w:t>údaje získané čestným odhadom vykonaným za bežný finančný rok.</w:t>
      </w:r>
    </w:p>
    <w:p w:rsidR="000F30FA" w:rsidRDefault="000F30FA" w:rsidP="000F30FA">
      <w:pPr>
        <w:ind w:left="284" w:hanging="284"/>
        <w:jc w:val="both"/>
        <w:rPr>
          <w:sz w:val="24"/>
          <w:szCs w:val="24"/>
        </w:rPr>
      </w:pPr>
    </w:p>
    <w:p w:rsidR="000F30FA" w:rsidRPr="000F30FA" w:rsidRDefault="000F30FA" w:rsidP="000F30FA">
      <w:pPr>
        <w:jc w:val="center"/>
        <w:rPr>
          <w:sz w:val="24"/>
          <w:szCs w:val="24"/>
        </w:rPr>
      </w:pPr>
      <w:r w:rsidRPr="000F30FA">
        <w:rPr>
          <w:sz w:val="24"/>
          <w:szCs w:val="24"/>
        </w:rPr>
        <w:t>Článok 5</w:t>
      </w:r>
    </w:p>
    <w:p w:rsidR="000F30FA" w:rsidRPr="000F30FA" w:rsidRDefault="000F30FA" w:rsidP="000F30FA">
      <w:pPr>
        <w:ind w:left="284" w:hanging="284"/>
        <w:jc w:val="center"/>
        <w:rPr>
          <w:sz w:val="24"/>
          <w:szCs w:val="24"/>
        </w:rPr>
      </w:pPr>
      <w:r w:rsidRPr="000F30FA">
        <w:rPr>
          <w:sz w:val="24"/>
          <w:szCs w:val="24"/>
        </w:rPr>
        <w:t>Počet pracovníkov</w:t>
      </w:r>
    </w:p>
    <w:p w:rsidR="000F30FA" w:rsidRDefault="000F30FA" w:rsidP="000F30FA">
      <w:pPr>
        <w:ind w:left="284" w:hanging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>Počet pracovníkov zodpovedá počtu ročných pracovných je</w:t>
      </w:r>
      <w:r>
        <w:rPr>
          <w:sz w:val="24"/>
          <w:szCs w:val="24"/>
        </w:rPr>
        <w:t>dnotiek AWU (annual work units,</w:t>
      </w:r>
    </w:p>
    <w:p w:rsidR="000F30FA" w:rsidRDefault="000F30FA" w:rsidP="000F30F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AWU), </w:t>
      </w:r>
      <w:r w:rsidRPr="000F30FA">
        <w:rPr>
          <w:sz w:val="24"/>
          <w:szCs w:val="24"/>
        </w:rPr>
        <w:t>t. j. počtu osôb, ktoré pracujú na plný úväzok v rá</w:t>
      </w:r>
      <w:r>
        <w:rPr>
          <w:sz w:val="24"/>
          <w:szCs w:val="24"/>
        </w:rPr>
        <w:t>mci príslušného podniku alebo v</w:t>
      </w:r>
    </w:p>
    <w:p w:rsidR="000F30FA" w:rsidRDefault="000F30FA" w:rsidP="000F30FA">
      <w:pPr>
        <w:ind w:left="284" w:hanging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>jeho mene počas celého posudzovaného referenčného roku</w:t>
      </w:r>
      <w:r>
        <w:rPr>
          <w:sz w:val="24"/>
          <w:szCs w:val="24"/>
        </w:rPr>
        <w:t>. Práca osôb, ktoré nepracovali</w:t>
      </w:r>
    </w:p>
    <w:p w:rsidR="000F30FA" w:rsidRDefault="000F30FA" w:rsidP="000F30FA">
      <w:pPr>
        <w:ind w:left="284" w:hanging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>celý rok, práca tých osôb, ktoré pracovali na čiastočný úvä</w:t>
      </w:r>
      <w:r>
        <w:rPr>
          <w:sz w:val="24"/>
          <w:szCs w:val="24"/>
        </w:rPr>
        <w:t>zok bez ohľadu na dĺžku a práca</w:t>
      </w:r>
    </w:p>
    <w:p w:rsidR="000F30FA" w:rsidRPr="000F30FA" w:rsidRDefault="000F30FA" w:rsidP="000F30FA">
      <w:pPr>
        <w:ind w:left="284" w:hanging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 xml:space="preserve">sezónnych pracovníkov sa počítajú ako časti AWU. Pracovníci pozostávajú zo:  </w:t>
      </w:r>
    </w:p>
    <w:p w:rsidR="000F30FA" w:rsidRPr="000F30FA" w:rsidRDefault="000F30FA" w:rsidP="001B0B7C">
      <w:pPr>
        <w:numPr>
          <w:ilvl w:val="0"/>
          <w:numId w:val="17"/>
        </w:numPr>
        <w:jc w:val="both"/>
        <w:rPr>
          <w:sz w:val="24"/>
          <w:szCs w:val="24"/>
        </w:rPr>
      </w:pPr>
      <w:r w:rsidRPr="000F30FA">
        <w:rPr>
          <w:sz w:val="24"/>
          <w:szCs w:val="24"/>
        </w:rPr>
        <w:t xml:space="preserve">zamestnancov; </w:t>
      </w:r>
    </w:p>
    <w:p w:rsidR="000F30FA" w:rsidRPr="000F30FA" w:rsidRDefault="000F30FA" w:rsidP="001B0B7C">
      <w:pPr>
        <w:numPr>
          <w:ilvl w:val="0"/>
          <w:numId w:val="17"/>
        </w:numPr>
        <w:jc w:val="both"/>
        <w:rPr>
          <w:sz w:val="24"/>
          <w:szCs w:val="24"/>
        </w:rPr>
      </w:pPr>
      <w:r w:rsidRPr="000F30FA">
        <w:rPr>
          <w:sz w:val="24"/>
          <w:szCs w:val="24"/>
        </w:rPr>
        <w:t>osôb pracujúcich pre podnik, ktorý mu podlieha, a ktorí sa</w:t>
      </w:r>
      <w:r>
        <w:rPr>
          <w:sz w:val="24"/>
          <w:szCs w:val="24"/>
        </w:rPr>
        <w:t xml:space="preserve"> podľa vnútroštátnych právnych </w:t>
      </w:r>
      <w:r w:rsidRPr="000F30FA">
        <w:rPr>
          <w:sz w:val="24"/>
          <w:szCs w:val="24"/>
        </w:rPr>
        <w:t xml:space="preserve">predpisov považujú za zamestnancov; </w:t>
      </w:r>
    </w:p>
    <w:p w:rsidR="000F30FA" w:rsidRPr="000F30FA" w:rsidRDefault="000F30FA" w:rsidP="001B0B7C">
      <w:pPr>
        <w:numPr>
          <w:ilvl w:val="0"/>
          <w:numId w:val="17"/>
        </w:numPr>
        <w:jc w:val="both"/>
        <w:rPr>
          <w:sz w:val="24"/>
          <w:szCs w:val="24"/>
        </w:rPr>
      </w:pPr>
      <w:r w:rsidRPr="000F30FA">
        <w:rPr>
          <w:sz w:val="24"/>
          <w:szCs w:val="24"/>
        </w:rPr>
        <w:t xml:space="preserve">vlastníkov – manažérov; </w:t>
      </w:r>
    </w:p>
    <w:p w:rsidR="000F30FA" w:rsidRPr="000F30FA" w:rsidRDefault="000F30FA" w:rsidP="001B0B7C">
      <w:pPr>
        <w:numPr>
          <w:ilvl w:val="0"/>
          <w:numId w:val="17"/>
        </w:numPr>
        <w:jc w:val="both"/>
        <w:rPr>
          <w:sz w:val="24"/>
          <w:szCs w:val="24"/>
        </w:rPr>
      </w:pPr>
      <w:r w:rsidRPr="000F30FA">
        <w:rPr>
          <w:sz w:val="24"/>
          <w:szCs w:val="24"/>
        </w:rPr>
        <w:t xml:space="preserve">partnerov vykonávajúcich pravidelnú činnosť v podniku a majúci finančný prospech z podniku. </w:t>
      </w:r>
    </w:p>
    <w:p w:rsidR="000F30FA" w:rsidRPr="000F30FA" w:rsidRDefault="000F30FA" w:rsidP="000F30FA">
      <w:pPr>
        <w:jc w:val="both"/>
        <w:rPr>
          <w:sz w:val="24"/>
          <w:szCs w:val="24"/>
        </w:rPr>
      </w:pPr>
      <w:r w:rsidRPr="000F30FA">
        <w:rPr>
          <w:sz w:val="24"/>
          <w:szCs w:val="24"/>
        </w:rPr>
        <w:t>Učni alebo študenti, ktorí sa zúčastňujú na odbornom vzdelávaní na zá</w:t>
      </w:r>
      <w:r>
        <w:rPr>
          <w:sz w:val="24"/>
          <w:szCs w:val="24"/>
        </w:rPr>
        <w:t xml:space="preserve">klade učňovskej alebo odbornej </w:t>
      </w:r>
      <w:r w:rsidRPr="000F30FA">
        <w:rPr>
          <w:sz w:val="24"/>
          <w:szCs w:val="24"/>
        </w:rPr>
        <w:t xml:space="preserve">zmluvy, sa nepovažujú za pracovníkov. Dĺžka materskej alebo rodičovskej dovolenky sa nezapočítava. </w:t>
      </w:r>
    </w:p>
    <w:p w:rsidR="000F30FA" w:rsidRPr="000F30FA" w:rsidRDefault="000F30FA" w:rsidP="000F30FA">
      <w:pPr>
        <w:ind w:left="284" w:hanging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 xml:space="preserve"> </w:t>
      </w:r>
    </w:p>
    <w:p w:rsidR="000F30FA" w:rsidRPr="000F30FA" w:rsidRDefault="000F30FA" w:rsidP="000F30FA">
      <w:pPr>
        <w:ind w:left="284" w:hanging="284"/>
        <w:jc w:val="center"/>
        <w:rPr>
          <w:sz w:val="24"/>
          <w:szCs w:val="24"/>
        </w:rPr>
      </w:pPr>
      <w:r w:rsidRPr="000F30FA">
        <w:rPr>
          <w:sz w:val="24"/>
          <w:szCs w:val="24"/>
        </w:rPr>
        <w:t>Článok 6</w:t>
      </w:r>
    </w:p>
    <w:p w:rsidR="000F30FA" w:rsidRPr="000F30FA" w:rsidRDefault="000F30FA" w:rsidP="000F30FA">
      <w:pPr>
        <w:ind w:left="284" w:hanging="284"/>
        <w:jc w:val="center"/>
        <w:rPr>
          <w:sz w:val="24"/>
          <w:szCs w:val="24"/>
        </w:rPr>
      </w:pPr>
      <w:r w:rsidRPr="000F30FA">
        <w:rPr>
          <w:sz w:val="24"/>
          <w:szCs w:val="24"/>
        </w:rPr>
        <w:t>Vyhotovenie údajov o podniku</w:t>
      </w:r>
    </w:p>
    <w:p w:rsidR="000F30FA" w:rsidRPr="000F30FA" w:rsidRDefault="000F30FA" w:rsidP="001B0B7C">
      <w:pPr>
        <w:numPr>
          <w:ilvl w:val="6"/>
          <w:numId w:val="18"/>
        </w:numPr>
        <w:ind w:left="284" w:hanging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 xml:space="preserve">V prípade samostatného podniku údaje, vrátane počtu pracovníkov, sa určia výlučne podľa </w:t>
      </w:r>
    </w:p>
    <w:p w:rsidR="000F30FA" w:rsidRPr="000F30FA" w:rsidRDefault="000F30FA" w:rsidP="00314B93">
      <w:pPr>
        <w:ind w:left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 xml:space="preserve">účtovnej závierky tohto podniku. </w:t>
      </w:r>
    </w:p>
    <w:p w:rsidR="000F30FA" w:rsidRPr="000F30FA" w:rsidRDefault="000F30FA" w:rsidP="001B0B7C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 xml:space="preserve">Údaje, vrátane počtu pracovníkov, o podniku, ktorý má partnerský podnik alebo prepojené </w:t>
      </w:r>
    </w:p>
    <w:p w:rsidR="000F30FA" w:rsidRPr="000F30FA" w:rsidRDefault="000F30FA" w:rsidP="00314B93">
      <w:pPr>
        <w:ind w:left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>podniky, sa určia na základe účtovnej závierky a iných údajov o podn</w:t>
      </w:r>
      <w:r>
        <w:rPr>
          <w:sz w:val="24"/>
          <w:szCs w:val="24"/>
        </w:rPr>
        <w:t xml:space="preserve">iku, alebo ak sú k dispozícii, </w:t>
      </w:r>
      <w:r w:rsidRPr="000F30FA">
        <w:rPr>
          <w:sz w:val="24"/>
          <w:szCs w:val="24"/>
        </w:rPr>
        <w:t>na základe konsolidovaných účtovných závierok podniku a</w:t>
      </w:r>
      <w:r>
        <w:rPr>
          <w:sz w:val="24"/>
          <w:szCs w:val="24"/>
        </w:rPr>
        <w:t xml:space="preserve">lebo konsolidovaných účtovných </w:t>
      </w:r>
      <w:r w:rsidRPr="000F30FA">
        <w:rPr>
          <w:sz w:val="24"/>
          <w:szCs w:val="24"/>
        </w:rPr>
        <w:t xml:space="preserve">závierok, do ktorých je podnik zahrnutý prostredníctvom konsolidácie. </w:t>
      </w:r>
    </w:p>
    <w:p w:rsidR="000F30FA" w:rsidRPr="000F30FA" w:rsidRDefault="000F30FA" w:rsidP="00314B93">
      <w:pPr>
        <w:jc w:val="both"/>
        <w:rPr>
          <w:sz w:val="24"/>
          <w:szCs w:val="24"/>
        </w:rPr>
      </w:pPr>
      <w:r w:rsidRPr="000F30FA">
        <w:rPr>
          <w:sz w:val="24"/>
          <w:szCs w:val="24"/>
        </w:rPr>
        <w:t>Údaje uvedené v prvom pododseku sa pridajú k údajom každého pa</w:t>
      </w:r>
      <w:r w:rsidR="00314B93">
        <w:rPr>
          <w:sz w:val="24"/>
          <w:szCs w:val="24"/>
        </w:rPr>
        <w:t xml:space="preserve">rtnerského podniku príslušného </w:t>
      </w:r>
      <w:r w:rsidRPr="000F30FA">
        <w:rPr>
          <w:sz w:val="24"/>
          <w:szCs w:val="24"/>
        </w:rPr>
        <w:t xml:space="preserve">podniku, ktorý sa nachádza bezprostredne vo vyššom alebo nižšom postavení („súprudne alebo protiprúdne“) od neho. Výsledok je úmerný percentuálnemu podielu kapitálu alebo hlasovacích práv (podľa toho, ktoré je väčšie). V prípade, keď krížové akcie vlastnia dva podniky, použije sa vyššie percento. </w:t>
      </w:r>
    </w:p>
    <w:p w:rsidR="000F30FA" w:rsidRDefault="000F30FA" w:rsidP="00314B93">
      <w:pPr>
        <w:jc w:val="both"/>
        <w:rPr>
          <w:sz w:val="24"/>
          <w:szCs w:val="24"/>
        </w:rPr>
      </w:pPr>
      <w:r w:rsidRPr="000F30FA">
        <w:rPr>
          <w:sz w:val="24"/>
          <w:szCs w:val="24"/>
        </w:rPr>
        <w:t>K údajom uvedeným v prvom a druhom pododseku sa pridá 100 % úd</w:t>
      </w:r>
      <w:r w:rsidR="00314B93">
        <w:rPr>
          <w:sz w:val="24"/>
          <w:szCs w:val="24"/>
        </w:rPr>
        <w:t xml:space="preserve">ajov každého podniku, ktorý je </w:t>
      </w:r>
      <w:r w:rsidRPr="000F30FA">
        <w:rPr>
          <w:sz w:val="24"/>
          <w:szCs w:val="24"/>
        </w:rPr>
        <w:t>priamo alebo nepriamo prepojený s príslušným podnikom, ak už</w:t>
      </w:r>
      <w:r w:rsidR="00314B93">
        <w:rPr>
          <w:sz w:val="24"/>
          <w:szCs w:val="24"/>
        </w:rPr>
        <w:t xml:space="preserve"> údaje neboli zahrnuté </w:t>
      </w:r>
      <w:r w:rsidRPr="000F30FA">
        <w:rPr>
          <w:sz w:val="24"/>
          <w:szCs w:val="24"/>
        </w:rPr>
        <w:t xml:space="preserve">prostredníctvom konsolidácie v účtovných závierkach. </w:t>
      </w:r>
    </w:p>
    <w:p w:rsidR="00314B93" w:rsidRPr="000F30FA" w:rsidRDefault="00314B93" w:rsidP="00314B93">
      <w:pPr>
        <w:ind w:left="284" w:hanging="284"/>
        <w:jc w:val="both"/>
        <w:rPr>
          <w:sz w:val="24"/>
          <w:szCs w:val="24"/>
        </w:rPr>
      </w:pPr>
    </w:p>
    <w:p w:rsidR="000F30FA" w:rsidRPr="000F30FA" w:rsidRDefault="000F30FA" w:rsidP="00314B93">
      <w:pPr>
        <w:ind w:left="284" w:hanging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>3.  Na uplatnenie odseku 2 sa údaje partnerských podnikov príslušného</w:t>
      </w:r>
      <w:r w:rsidR="00314B93">
        <w:rPr>
          <w:sz w:val="24"/>
          <w:szCs w:val="24"/>
        </w:rPr>
        <w:t xml:space="preserve"> podniku určia z ich účtovných </w:t>
      </w:r>
      <w:r w:rsidRPr="000F30FA">
        <w:rPr>
          <w:sz w:val="24"/>
          <w:szCs w:val="24"/>
        </w:rPr>
        <w:t xml:space="preserve">závierok a ostatných konsolidovaných údajov, ak existujú. K týmto údajom sa pripočíta 100 % údajov podnikov, ktoré sú prepojené s týmito partnerskými podnikmi, pokiaľ ich účtovné údaje už nie sú zahrnuté prostredníctvom konsolidácie. </w:t>
      </w:r>
    </w:p>
    <w:p w:rsidR="000F30FA" w:rsidRDefault="000F30FA" w:rsidP="009C2F3B">
      <w:pPr>
        <w:jc w:val="both"/>
        <w:rPr>
          <w:sz w:val="24"/>
          <w:szCs w:val="24"/>
        </w:rPr>
      </w:pPr>
      <w:r w:rsidRPr="000F30FA">
        <w:rPr>
          <w:sz w:val="24"/>
          <w:szCs w:val="24"/>
        </w:rPr>
        <w:t>Na uplatnenie tohto istého odseku 2 sa údaje partnerských podnikov, kt</w:t>
      </w:r>
      <w:r w:rsidR="00314B93">
        <w:rPr>
          <w:sz w:val="24"/>
          <w:szCs w:val="24"/>
        </w:rPr>
        <w:t xml:space="preserve">oré sú prepojené s  príslušným </w:t>
      </w:r>
      <w:r w:rsidRPr="000F30FA">
        <w:rPr>
          <w:sz w:val="24"/>
          <w:szCs w:val="24"/>
        </w:rPr>
        <w:t>podnikom, určia z ich účtovných závierok a ostatných konsolidovaných údajov, ak existujú. K týmto údajom sa pripočítajú proporcionálne údaje každého prípadného partnerského</w:t>
      </w:r>
      <w:r w:rsidR="00314B93">
        <w:rPr>
          <w:sz w:val="24"/>
          <w:szCs w:val="24"/>
        </w:rPr>
        <w:t xml:space="preserve"> podniku tohto </w:t>
      </w:r>
      <w:r w:rsidRPr="000F30FA">
        <w:rPr>
          <w:sz w:val="24"/>
          <w:szCs w:val="24"/>
        </w:rPr>
        <w:t>prepojeného podniku, ktorý sa nachádza bezprostredne vo vyššom alebo nižšom postavení („súprudne alebo protiprúdne“) od neho, pokiaľ už údaje neboli zahrnu</w:t>
      </w:r>
      <w:r w:rsidR="009C2F3B">
        <w:rPr>
          <w:sz w:val="24"/>
          <w:szCs w:val="24"/>
        </w:rPr>
        <w:t xml:space="preserve">té v konsolidovaných účtovných </w:t>
      </w:r>
      <w:r w:rsidRPr="000F30FA">
        <w:rPr>
          <w:sz w:val="24"/>
          <w:szCs w:val="24"/>
        </w:rPr>
        <w:t xml:space="preserve">závierkach s percentuálnym podielom úmerným percentu uvedenému podľa druhého pododseku 2. </w:t>
      </w:r>
    </w:p>
    <w:p w:rsidR="009C2F3B" w:rsidRPr="000F30FA" w:rsidRDefault="009C2F3B" w:rsidP="009C2F3B">
      <w:pPr>
        <w:jc w:val="both"/>
        <w:rPr>
          <w:sz w:val="24"/>
          <w:szCs w:val="24"/>
        </w:rPr>
      </w:pPr>
    </w:p>
    <w:p w:rsidR="000F30FA" w:rsidRPr="000F30FA" w:rsidRDefault="000F30FA" w:rsidP="009C2F3B">
      <w:pPr>
        <w:ind w:left="284" w:hanging="284"/>
        <w:jc w:val="both"/>
        <w:rPr>
          <w:sz w:val="24"/>
          <w:szCs w:val="24"/>
        </w:rPr>
      </w:pPr>
      <w:r w:rsidRPr="000F30FA">
        <w:rPr>
          <w:sz w:val="24"/>
          <w:szCs w:val="24"/>
        </w:rPr>
        <w:t>4.  Ak sa v konsolidovaných účtovných závierkach neuvádzajú za dan</w:t>
      </w:r>
      <w:r w:rsidR="009C2F3B">
        <w:rPr>
          <w:sz w:val="24"/>
          <w:szCs w:val="24"/>
        </w:rPr>
        <w:t xml:space="preserve">ý podnik údaje o pracovníkoch, </w:t>
      </w:r>
      <w:r w:rsidRPr="000F30FA">
        <w:rPr>
          <w:sz w:val="24"/>
          <w:szCs w:val="24"/>
        </w:rPr>
        <w:t xml:space="preserve">čísla týkajúce sa pracovníkov sa vypočítajú úmerne na základe súhrnu údajov z jeho partnerských podnikov a pripočítaním údajov z podnikov, s ktorými je príslušný podnik prepojený. </w:t>
      </w:r>
    </w:p>
    <w:p w:rsidR="000F30FA" w:rsidRPr="004A5D35" w:rsidRDefault="000F30FA" w:rsidP="000F30FA">
      <w:pPr>
        <w:ind w:left="284" w:hanging="284"/>
        <w:jc w:val="both"/>
        <w:rPr>
          <w:sz w:val="24"/>
          <w:szCs w:val="24"/>
        </w:rPr>
      </w:pPr>
    </w:p>
    <w:sectPr w:rsidR="000F30FA" w:rsidRPr="004A5D35" w:rsidSect="00242AA9">
      <w:footerReference w:type="default" r:id="rId18"/>
      <w:pgSz w:w="11906" w:h="16838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AF" w:rsidRDefault="00A902AF">
      <w:r>
        <w:separator/>
      </w:r>
    </w:p>
  </w:endnote>
  <w:endnote w:type="continuationSeparator" w:id="0">
    <w:p w:rsidR="00A902AF" w:rsidRDefault="00A9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51" w:rsidRDefault="002C2651" w:rsidP="006A014A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3AA5">
      <w:rPr>
        <w:rStyle w:val="slostrany"/>
        <w:noProof/>
      </w:rPr>
      <w:t>10</w:t>
    </w:r>
    <w:r>
      <w:rPr>
        <w:rStyle w:val="slostrany"/>
      </w:rPr>
      <w:fldChar w:fldCharType="end"/>
    </w:r>
  </w:p>
  <w:p w:rsidR="002C2651" w:rsidRDefault="002C2651" w:rsidP="006A014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AF" w:rsidRDefault="00A902AF">
      <w:r>
        <w:separator/>
      </w:r>
    </w:p>
  </w:footnote>
  <w:footnote w:type="continuationSeparator" w:id="0">
    <w:p w:rsidR="00A902AF" w:rsidRDefault="00A902AF">
      <w:r>
        <w:continuationSeparator/>
      </w:r>
    </w:p>
  </w:footnote>
  <w:footnote w:id="1">
    <w:p w:rsidR="00000000" w:rsidRDefault="002C2651" w:rsidP="002C5036">
      <w:pPr>
        <w:pStyle w:val="Textpoznmkypodiarou"/>
        <w:jc w:val="both"/>
      </w:pPr>
      <w:r w:rsidRPr="002C5036">
        <w:rPr>
          <w:rStyle w:val="Odkaznapoznmkupodiarou"/>
        </w:rPr>
        <w:footnoteRef/>
      </w:r>
      <w:r w:rsidRPr="002C5036">
        <w:t xml:space="preserve"> Integrovan</w:t>
      </w:r>
      <w:r>
        <w:t>á</w:t>
      </w:r>
      <w:r w:rsidRPr="002C5036">
        <w:t xml:space="preserve"> stratégi</w:t>
      </w:r>
      <w:r>
        <w:t>a</w:t>
      </w:r>
      <w:r w:rsidRPr="002C5036">
        <w:t xml:space="preserve"> rozvoja územia príslušnej  </w:t>
      </w:r>
      <w:r w:rsidRPr="002C5036">
        <w:rPr>
          <w:color w:val="000000"/>
        </w:rPr>
        <w:t xml:space="preserve">MAS, ktorej bol udelený Štatút Miestnej akčnej skupiny  </w:t>
      </w:r>
      <w:r w:rsidRPr="002C5036">
        <w:t xml:space="preserve">na základe Rozhodnutia o schválení Žiadosti o nenávratný finančný príspevok z Programu rozvoja vidieka SR </w:t>
      </w:r>
      <w:r w:rsidR="00155BDC">
        <w:t xml:space="preserve">  </w:t>
      </w:r>
      <w:r w:rsidRPr="002C5036">
        <w:t>2007 – 2013, opatrenie 4.1 Implementácia Integrovaných stratégií rozvoja územia a opatrenie 4.3 Chod miestnej akčnej skupiny a stratégie  vydaného PPA</w:t>
      </w:r>
      <w:r>
        <w:t xml:space="preserve">, </w:t>
      </w:r>
      <w:r w:rsidRPr="002C5036">
        <w:t xml:space="preserve"> je</w:t>
      </w:r>
      <w:r>
        <w:t xml:space="preserve"> zverejnená na </w:t>
      </w:r>
      <w:r w:rsidR="00E7523A">
        <w:t>webovom sídle</w:t>
      </w:r>
      <w:r w:rsidRPr="002C5036">
        <w:t xml:space="preserve"> Národnej sieti rozvoja vidieka</w:t>
      </w:r>
      <w:r>
        <w:t xml:space="preserve">: </w:t>
      </w:r>
      <w:r w:rsidRPr="002C5036">
        <w:t xml:space="preserve"> </w:t>
      </w:r>
      <w:hyperlink r:id="rId1" w:history="1">
        <w:r w:rsidRPr="005145DA">
          <w:rPr>
            <w:rStyle w:val="Hypertextovprepojenie"/>
          </w:rPr>
          <w:t>http://www.nsrv.sk/index.php?pl=18&amp;article=34&amp;PHPSESSID=eff9e7eb2161e804dcf1407d2357e9de</w:t>
        </w:r>
      </w:hyperlink>
      <w:r>
        <w:t>.</w:t>
      </w:r>
    </w:p>
  </w:footnote>
  <w:footnote w:id="2">
    <w:p w:rsidR="002C2651" w:rsidRPr="00E0570B" w:rsidRDefault="002C2651" w:rsidP="00083AA5">
      <w:pPr>
        <w:keepNext/>
        <w:keepLines/>
        <w:adjustRightInd w:val="0"/>
        <w:jc w:val="both"/>
        <w:textAlignment w:val="baseline"/>
      </w:pPr>
      <w:r w:rsidRPr="00E0570B">
        <w:rPr>
          <w:rStyle w:val="Odkaznapoznmkupodiarou"/>
        </w:rPr>
        <w:footnoteRef/>
      </w:r>
      <w:r w:rsidRPr="00E0570B">
        <w:t xml:space="preserve"> </w:t>
      </w:r>
      <w:bookmarkStart w:id="1" w:name="_Toc192255791"/>
      <w:r w:rsidRPr="00E0570B">
        <w:t>M</w:t>
      </w:r>
      <w:r>
        <w:t>AS</w:t>
      </w:r>
      <w:r w:rsidRPr="00E0570B">
        <w:t xml:space="preserve"> musí dodržiavať podmienky pre príslušné opatrenia osi 3, ktoré sú uvedené v Usmernení pre administráciu osi 4 Leader v platnom znení</w:t>
      </w:r>
      <w:bookmarkEnd w:id="1"/>
      <w:r w:rsidRPr="00E0570B">
        <w:t xml:space="preserve"> a to nasledovne:</w:t>
      </w:r>
    </w:p>
    <w:p w:rsidR="002C2651" w:rsidRPr="00E0570B" w:rsidRDefault="002C2651" w:rsidP="00083AA5">
      <w:pPr>
        <w:keepNext/>
        <w:keepLines/>
        <w:numPr>
          <w:ilvl w:val="0"/>
          <w:numId w:val="9"/>
        </w:numPr>
        <w:adjustRightInd w:val="0"/>
        <w:jc w:val="both"/>
        <w:textAlignment w:val="baseline"/>
      </w:pPr>
      <w:r w:rsidRPr="00E0570B">
        <w:t>min. výšku oprávnených výdavkov na 1 projekt stanovených pre príslušné opatrenia osi 3;</w:t>
      </w:r>
    </w:p>
    <w:p w:rsidR="00000000" w:rsidRDefault="002C2651" w:rsidP="00083AA5">
      <w:pPr>
        <w:keepNext/>
        <w:keepLines/>
        <w:numPr>
          <w:ilvl w:val="0"/>
          <w:numId w:val="9"/>
        </w:numPr>
        <w:adjustRightInd w:val="0"/>
        <w:jc w:val="both"/>
        <w:textAlignment w:val="baseline"/>
      </w:pPr>
      <w:r w:rsidRPr="00E0570B">
        <w:t xml:space="preserve"> max. výšku oprávnených výdavkov na 1 projekt stanovených pre príslušné opatrenia osi 3, pričom si ale môže stanoviť nižšiu výšku maximálneho limitu oprávnených výdavkov pre príslušné opatrenia osi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64A7CBE"/>
    <w:multiLevelType w:val="hybridMultilevel"/>
    <w:tmpl w:val="A328B2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F5A04"/>
    <w:multiLevelType w:val="hybridMultilevel"/>
    <w:tmpl w:val="4C20C346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F60589"/>
    <w:multiLevelType w:val="hybridMultilevel"/>
    <w:tmpl w:val="206AC6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B2E2B"/>
    <w:multiLevelType w:val="hybridMultilevel"/>
    <w:tmpl w:val="AFF4B8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AA4178"/>
    <w:multiLevelType w:val="hybridMultilevel"/>
    <w:tmpl w:val="9D38E7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B83A51"/>
    <w:multiLevelType w:val="hybridMultilevel"/>
    <w:tmpl w:val="E21877AE"/>
    <w:lvl w:ilvl="0" w:tplc="458808F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0405000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C12FD4"/>
    <w:multiLevelType w:val="hybridMultilevel"/>
    <w:tmpl w:val="41DC2A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80BA4"/>
    <w:multiLevelType w:val="hybridMultilevel"/>
    <w:tmpl w:val="EC60D5A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742435D"/>
    <w:multiLevelType w:val="hybridMultilevel"/>
    <w:tmpl w:val="285CBAB4"/>
    <w:lvl w:ilvl="0" w:tplc="041B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ACF0C72"/>
    <w:multiLevelType w:val="hybridMultilevel"/>
    <w:tmpl w:val="CAA6D338"/>
    <w:lvl w:ilvl="0" w:tplc="440E1F0C">
      <w:start w:val="18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D4D87"/>
    <w:multiLevelType w:val="hybridMultilevel"/>
    <w:tmpl w:val="F4D2E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6634D"/>
    <w:multiLevelType w:val="hybridMultilevel"/>
    <w:tmpl w:val="B4BAF2B8"/>
    <w:lvl w:ilvl="0" w:tplc="CB2E62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3B8E8F4">
      <w:start w:val="3"/>
      <w:numFmt w:val="bullet"/>
      <w:lvlText w:val=""/>
      <w:lvlJc w:val="left"/>
      <w:pPr>
        <w:tabs>
          <w:tab w:val="num" w:pos="453"/>
        </w:tabs>
        <w:ind w:left="340" w:hanging="170"/>
      </w:pPr>
      <w:rPr>
        <w:rFonts w:ascii="Symbol" w:hAnsi="Symbol" w:hint="default"/>
      </w:rPr>
    </w:lvl>
    <w:lvl w:ilvl="2" w:tplc="211C95FE"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  <w:rPr>
        <w:rFonts w:cs="Times New Roman"/>
      </w:rPr>
    </w:lvl>
  </w:abstractNum>
  <w:abstractNum w:abstractNumId="16" w15:restartNumberingAfterBreak="0">
    <w:nsid w:val="414417A6"/>
    <w:multiLevelType w:val="hybridMultilevel"/>
    <w:tmpl w:val="CDAE1C40"/>
    <w:lvl w:ilvl="0" w:tplc="25DCD186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BE4047"/>
    <w:multiLevelType w:val="hybridMultilevel"/>
    <w:tmpl w:val="F2565A6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11AB70C">
      <w:start w:val="4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6C35A2"/>
    <w:multiLevelType w:val="hybridMultilevel"/>
    <w:tmpl w:val="7012D4D0"/>
    <w:lvl w:ilvl="0" w:tplc="08BEC6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8B1A0D"/>
    <w:multiLevelType w:val="hybridMultilevel"/>
    <w:tmpl w:val="7D06F6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37B8"/>
    <w:multiLevelType w:val="hybridMultilevel"/>
    <w:tmpl w:val="AE84941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525B9E"/>
    <w:multiLevelType w:val="hybridMultilevel"/>
    <w:tmpl w:val="3B5CA4C8"/>
    <w:lvl w:ilvl="0" w:tplc="4DB0CAFE">
      <w:start w:val="9"/>
      <w:numFmt w:val="upperLetter"/>
      <w:pStyle w:val="Nadpis6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71021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163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F43CD3"/>
    <w:multiLevelType w:val="hybridMultilevel"/>
    <w:tmpl w:val="388E26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5A7DC8"/>
    <w:multiLevelType w:val="hybridMultilevel"/>
    <w:tmpl w:val="80108732"/>
    <w:lvl w:ilvl="0" w:tplc="458808F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71FA5ED5"/>
    <w:multiLevelType w:val="hybridMultilevel"/>
    <w:tmpl w:val="CB7600FC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3E30E4"/>
    <w:multiLevelType w:val="hybridMultilevel"/>
    <w:tmpl w:val="A0C64C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B0250C">
      <w:start w:val="1"/>
      <w:numFmt w:val="upperLetter"/>
      <w:pStyle w:val="Nadpis4"/>
      <w:lvlText w:val="%2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15C20982">
      <w:start w:val="15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F1291C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8A9B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DB1F81"/>
    <w:multiLevelType w:val="hybridMultilevel"/>
    <w:tmpl w:val="8388619E"/>
    <w:lvl w:ilvl="0" w:tplc="041B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23"/>
  </w:num>
  <w:num w:numId="12">
    <w:abstractNumId w:val="14"/>
  </w:num>
  <w:num w:numId="13">
    <w:abstractNumId w:val="4"/>
  </w:num>
  <w:num w:numId="14">
    <w:abstractNumId w:val="24"/>
  </w:num>
  <w:num w:numId="15">
    <w:abstractNumId w:val="16"/>
  </w:num>
  <w:num w:numId="16">
    <w:abstractNumId w:val="22"/>
  </w:num>
  <w:num w:numId="17">
    <w:abstractNumId w:val="20"/>
  </w:num>
  <w:num w:numId="18">
    <w:abstractNumId w:val="8"/>
  </w:num>
  <w:num w:numId="19">
    <w:abstractNumId w:val="19"/>
  </w:num>
  <w:num w:numId="20">
    <w:abstractNumId w:val="26"/>
  </w:num>
  <w:num w:numId="21">
    <w:abstractNumId w:val="12"/>
  </w:num>
  <w:num w:numId="22">
    <w:abstractNumId w:val="5"/>
  </w:num>
  <w:num w:numId="23">
    <w:abstractNumId w:val="3"/>
  </w:num>
  <w:num w:numId="24">
    <w:abstractNumId w:val="11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9"/>
    <w:rsid w:val="00000B25"/>
    <w:rsid w:val="00000C90"/>
    <w:rsid w:val="00002FED"/>
    <w:rsid w:val="000052D4"/>
    <w:rsid w:val="00005E39"/>
    <w:rsid w:val="00006369"/>
    <w:rsid w:val="00010613"/>
    <w:rsid w:val="00015DE6"/>
    <w:rsid w:val="00017F2F"/>
    <w:rsid w:val="00023BBA"/>
    <w:rsid w:val="00025BE0"/>
    <w:rsid w:val="000263F3"/>
    <w:rsid w:val="0003340A"/>
    <w:rsid w:val="00033642"/>
    <w:rsid w:val="000405F8"/>
    <w:rsid w:val="00045F15"/>
    <w:rsid w:val="000465AA"/>
    <w:rsid w:val="000576B7"/>
    <w:rsid w:val="000635AB"/>
    <w:rsid w:val="00066EA3"/>
    <w:rsid w:val="00066EE1"/>
    <w:rsid w:val="00070164"/>
    <w:rsid w:val="00072F38"/>
    <w:rsid w:val="00076537"/>
    <w:rsid w:val="00076B46"/>
    <w:rsid w:val="00076C8D"/>
    <w:rsid w:val="00080CE1"/>
    <w:rsid w:val="00083AA5"/>
    <w:rsid w:val="00084023"/>
    <w:rsid w:val="00094CAC"/>
    <w:rsid w:val="000953F8"/>
    <w:rsid w:val="000955B3"/>
    <w:rsid w:val="000961B7"/>
    <w:rsid w:val="00097E71"/>
    <w:rsid w:val="000A38DF"/>
    <w:rsid w:val="000A566E"/>
    <w:rsid w:val="000A58F5"/>
    <w:rsid w:val="000B559A"/>
    <w:rsid w:val="000C7E3F"/>
    <w:rsid w:val="000D2BE0"/>
    <w:rsid w:val="000D6572"/>
    <w:rsid w:val="000D7F5E"/>
    <w:rsid w:val="000D7F60"/>
    <w:rsid w:val="000E20F3"/>
    <w:rsid w:val="000E2928"/>
    <w:rsid w:val="000E305C"/>
    <w:rsid w:val="000E4648"/>
    <w:rsid w:val="000F0A30"/>
    <w:rsid w:val="000F12A3"/>
    <w:rsid w:val="000F12EA"/>
    <w:rsid w:val="000F30FA"/>
    <w:rsid w:val="000F7A44"/>
    <w:rsid w:val="00116309"/>
    <w:rsid w:val="00121B1F"/>
    <w:rsid w:val="001221D7"/>
    <w:rsid w:val="00122214"/>
    <w:rsid w:val="00127622"/>
    <w:rsid w:val="00127BE9"/>
    <w:rsid w:val="00131005"/>
    <w:rsid w:val="001329CD"/>
    <w:rsid w:val="00135AA9"/>
    <w:rsid w:val="00135D66"/>
    <w:rsid w:val="00142159"/>
    <w:rsid w:val="00142A15"/>
    <w:rsid w:val="00145F33"/>
    <w:rsid w:val="001527E8"/>
    <w:rsid w:val="00153C54"/>
    <w:rsid w:val="00155BDC"/>
    <w:rsid w:val="00160AC9"/>
    <w:rsid w:val="00160DC9"/>
    <w:rsid w:val="0016383D"/>
    <w:rsid w:val="001642F2"/>
    <w:rsid w:val="0016538E"/>
    <w:rsid w:val="0017224F"/>
    <w:rsid w:val="001744C3"/>
    <w:rsid w:val="00174FC4"/>
    <w:rsid w:val="001767CE"/>
    <w:rsid w:val="00184561"/>
    <w:rsid w:val="00187F93"/>
    <w:rsid w:val="00192DC0"/>
    <w:rsid w:val="00194A63"/>
    <w:rsid w:val="00197849"/>
    <w:rsid w:val="001A06B4"/>
    <w:rsid w:val="001A7AB8"/>
    <w:rsid w:val="001B01D8"/>
    <w:rsid w:val="001B0B7C"/>
    <w:rsid w:val="001B28AF"/>
    <w:rsid w:val="001B30AE"/>
    <w:rsid w:val="001C1490"/>
    <w:rsid w:val="001C2D1E"/>
    <w:rsid w:val="001C6EA4"/>
    <w:rsid w:val="001C7355"/>
    <w:rsid w:val="001D00C1"/>
    <w:rsid w:val="001D404D"/>
    <w:rsid w:val="001D529C"/>
    <w:rsid w:val="001E01E7"/>
    <w:rsid w:val="001E1161"/>
    <w:rsid w:val="001E1724"/>
    <w:rsid w:val="001E1DB0"/>
    <w:rsid w:val="001E4C60"/>
    <w:rsid w:val="001E4CE1"/>
    <w:rsid w:val="00200483"/>
    <w:rsid w:val="00206994"/>
    <w:rsid w:val="00210D74"/>
    <w:rsid w:val="002113E7"/>
    <w:rsid w:val="00211734"/>
    <w:rsid w:val="002117AA"/>
    <w:rsid w:val="00213E80"/>
    <w:rsid w:val="002160B6"/>
    <w:rsid w:val="00217090"/>
    <w:rsid w:val="00225B35"/>
    <w:rsid w:val="00231EB0"/>
    <w:rsid w:val="00232BC2"/>
    <w:rsid w:val="00232D57"/>
    <w:rsid w:val="00234101"/>
    <w:rsid w:val="00234324"/>
    <w:rsid w:val="00235923"/>
    <w:rsid w:val="002360B5"/>
    <w:rsid w:val="002428A9"/>
    <w:rsid w:val="00242AA9"/>
    <w:rsid w:val="00255F72"/>
    <w:rsid w:val="00261AE6"/>
    <w:rsid w:val="00265DB0"/>
    <w:rsid w:val="002674D0"/>
    <w:rsid w:val="00274406"/>
    <w:rsid w:val="00274EF9"/>
    <w:rsid w:val="00284A9F"/>
    <w:rsid w:val="00287FA3"/>
    <w:rsid w:val="0029147D"/>
    <w:rsid w:val="0029628A"/>
    <w:rsid w:val="00296D7B"/>
    <w:rsid w:val="00297160"/>
    <w:rsid w:val="002A42AA"/>
    <w:rsid w:val="002B0913"/>
    <w:rsid w:val="002B449E"/>
    <w:rsid w:val="002B4B06"/>
    <w:rsid w:val="002B4F76"/>
    <w:rsid w:val="002C0D1F"/>
    <w:rsid w:val="002C1A78"/>
    <w:rsid w:val="002C2651"/>
    <w:rsid w:val="002C3424"/>
    <w:rsid w:val="002C5036"/>
    <w:rsid w:val="002C6F21"/>
    <w:rsid w:val="002D53CC"/>
    <w:rsid w:val="002D7712"/>
    <w:rsid w:val="002D771B"/>
    <w:rsid w:val="002E0FB8"/>
    <w:rsid w:val="002E1367"/>
    <w:rsid w:val="002E388B"/>
    <w:rsid w:val="002E4999"/>
    <w:rsid w:val="002F1A8F"/>
    <w:rsid w:val="002F7620"/>
    <w:rsid w:val="002F7D4A"/>
    <w:rsid w:val="00301346"/>
    <w:rsid w:val="0030194E"/>
    <w:rsid w:val="003048FA"/>
    <w:rsid w:val="00305189"/>
    <w:rsid w:val="00310C3B"/>
    <w:rsid w:val="00314B93"/>
    <w:rsid w:val="003227ED"/>
    <w:rsid w:val="00325165"/>
    <w:rsid w:val="00327D80"/>
    <w:rsid w:val="00331AFC"/>
    <w:rsid w:val="00333DA4"/>
    <w:rsid w:val="00334CC5"/>
    <w:rsid w:val="00337458"/>
    <w:rsid w:val="00337F74"/>
    <w:rsid w:val="00345ADA"/>
    <w:rsid w:val="00345D9E"/>
    <w:rsid w:val="00350DEB"/>
    <w:rsid w:val="0035232E"/>
    <w:rsid w:val="0035554D"/>
    <w:rsid w:val="0035679C"/>
    <w:rsid w:val="00356F59"/>
    <w:rsid w:val="00363FE2"/>
    <w:rsid w:val="00364CB9"/>
    <w:rsid w:val="00365F2A"/>
    <w:rsid w:val="0037122D"/>
    <w:rsid w:val="00371C91"/>
    <w:rsid w:val="00373EDC"/>
    <w:rsid w:val="0037566F"/>
    <w:rsid w:val="00382C2C"/>
    <w:rsid w:val="003861B0"/>
    <w:rsid w:val="00392735"/>
    <w:rsid w:val="003942EF"/>
    <w:rsid w:val="00394919"/>
    <w:rsid w:val="00395712"/>
    <w:rsid w:val="003A208E"/>
    <w:rsid w:val="003B1504"/>
    <w:rsid w:val="003B30AE"/>
    <w:rsid w:val="003B341F"/>
    <w:rsid w:val="003B4226"/>
    <w:rsid w:val="003B5461"/>
    <w:rsid w:val="003B68FE"/>
    <w:rsid w:val="003C18FF"/>
    <w:rsid w:val="003C2805"/>
    <w:rsid w:val="003C348A"/>
    <w:rsid w:val="003C4A50"/>
    <w:rsid w:val="003D08BD"/>
    <w:rsid w:val="003D1BB8"/>
    <w:rsid w:val="003D20FE"/>
    <w:rsid w:val="003D2B26"/>
    <w:rsid w:val="003D6AFB"/>
    <w:rsid w:val="003E32C6"/>
    <w:rsid w:val="004013F4"/>
    <w:rsid w:val="00402928"/>
    <w:rsid w:val="004128ED"/>
    <w:rsid w:val="00415C3E"/>
    <w:rsid w:val="00416444"/>
    <w:rsid w:val="004169A8"/>
    <w:rsid w:val="00420D80"/>
    <w:rsid w:val="0042154F"/>
    <w:rsid w:val="00421F19"/>
    <w:rsid w:val="00423848"/>
    <w:rsid w:val="00425B50"/>
    <w:rsid w:val="00427668"/>
    <w:rsid w:val="00427B87"/>
    <w:rsid w:val="00427E52"/>
    <w:rsid w:val="00427EF4"/>
    <w:rsid w:val="00435252"/>
    <w:rsid w:val="00436DCA"/>
    <w:rsid w:val="00436FA6"/>
    <w:rsid w:val="00437CFD"/>
    <w:rsid w:val="00440B48"/>
    <w:rsid w:val="004417A5"/>
    <w:rsid w:val="00442AD7"/>
    <w:rsid w:val="0044344C"/>
    <w:rsid w:val="00443B65"/>
    <w:rsid w:val="0045301A"/>
    <w:rsid w:val="004555F3"/>
    <w:rsid w:val="00455F0F"/>
    <w:rsid w:val="00460B63"/>
    <w:rsid w:val="00460DE6"/>
    <w:rsid w:val="00462545"/>
    <w:rsid w:val="004725C5"/>
    <w:rsid w:val="00480E15"/>
    <w:rsid w:val="004839C2"/>
    <w:rsid w:val="00491693"/>
    <w:rsid w:val="00494E69"/>
    <w:rsid w:val="004953F6"/>
    <w:rsid w:val="004A110F"/>
    <w:rsid w:val="004A257F"/>
    <w:rsid w:val="004A4220"/>
    <w:rsid w:val="004A5D35"/>
    <w:rsid w:val="004B6D84"/>
    <w:rsid w:val="004C1151"/>
    <w:rsid w:val="004C44C0"/>
    <w:rsid w:val="004C4A2F"/>
    <w:rsid w:val="004C5F91"/>
    <w:rsid w:val="004C6BF8"/>
    <w:rsid w:val="004C74AD"/>
    <w:rsid w:val="004C7A7D"/>
    <w:rsid w:val="004C7AE3"/>
    <w:rsid w:val="004D1EE4"/>
    <w:rsid w:val="004D2B15"/>
    <w:rsid w:val="004E2CA5"/>
    <w:rsid w:val="004E5F07"/>
    <w:rsid w:val="004F0FA9"/>
    <w:rsid w:val="004F28B8"/>
    <w:rsid w:val="004F484E"/>
    <w:rsid w:val="004F6010"/>
    <w:rsid w:val="004F7BE1"/>
    <w:rsid w:val="00502E2F"/>
    <w:rsid w:val="00504418"/>
    <w:rsid w:val="00510606"/>
    <w:rsid w:val="005141C0"/>
    <w:rsid w:val="005145DA"/>
    <w:rsid w:val="00516E64"/>
    <w:rsid w:val="005228E8"/>
    <w:rsid w:val="005250F6"/>
    <w:rsid w:val="00532E7B"/>
    <w:rsid w:val="00534696"/>
    <w:rsid w:val="00540A24"/>
    <w:rsid w:val="005428A1"/>
    <w:rsid w:val="00544248"/>
    <w:rsid w:val="00545FE5"/>
    <w:rsid w:val="00556FF3"/>
    <w:rsid w:val="00557957"/>
    <w:rsid w:val="005723A9"/>
    <w:rsid w:val="00573C9A"/>
    <w:rsid w:val="005813F7"/>
    <w:rsid w:val="00584906"/>
    <w:rsid w:val="0058639C"/>
    <w:rsid w:val="00586CDA"/>
    <w:rsid w:val="00586F29"/>
    <w:rsid w:val="00596233"/>
    <w:rsid w:val="00596276"/>
    <w:rsid w:val="00597F4D"/>
    <w:rsid w:val="005A03E9"/>
    <w:rsid w:val="005A40E5"/>
    <w:rsid w:val="005B0150"/>
    <w:rsid w:val="005B2E40"/>
    <w:rsid w:val="005B3C4A"/>
    <w:rsid w:val="005B5EF4"/>
    <w:rsid w:val="005B6169"/>
    <w:rsid w:val="005C245D"/>
    <w:rsid w:val="005C359E"/>
    <w:rsid w:val="005C4BD3"/>
    <w:rsid w:val="005D5759"/>
    <w:rsid w:val="005D7E04"/>
    <w:rsid w:val="005E3063"/>
    <w:rsid w:val="005E455B"/>
    <w:rsid w:val="005F2E2D"/>
    <w:rsid w:val="00612415"/>
    <w:rsid w:val="00612D64"/>
    <w:rsid w:val="00613C88"/>
    <w:rsid w:val="00623536"/>
    <w:rsid w:val="00630022"/>
    <w:rsid w:val="0063264D"/>
    <w:rsid w:val="00633347"/>
    <w:rsid w:val="00634499"/>
    <w:rsid w:val="006360E3"/>
    <w:rsid w:val="00641621"/>
    <w:rsid w:val="006419BA"/>
    <w:rsid w:val="00643324"/>
    <w:rsid w:val="00644BCE"/>
    <w:rsid w:val="00644DA1"/>
    <w:rsid w:val="006466E9"/>
    <w:rsid w:val="00660D09"/>
    <w:rsid w:val="006662F0"/>
    <w:rsid w:val="00667E0B"/>
    <w:rsid w:val="0067226D"/>
    <w:rsid w:val="0067250C"/>
    <w:rsid w:val="006763B5"/>
    <w:rsid w:val="00677412"/>
    <w:rsid w:val="0067798B"/>
    <w:rsid w:val="00677AB0"/>
    <w:rsid w:val="0068091B"/>
    <w:rsid w:val="00683195"/>
    <w:rsid w:val="00683DFB"/>
    <w:rsid w:val="006874EF"/>
    <w:rsid w:val="006918D5"/>
    <w:rsid w:val="00697F97"/>
    <w:rsid w:val="006A014A"/>
    <w:rsid w:val="006A19B0"/>
    <w:rsid w:val="006A4D86"/>
    <w:rsid w:val="006B24AD"/>
    <w:rsid w:val="006B2E19"/>
    <w:rsid w:val="006B48DB"/>
    <w:rsid w:val="006C44C2"/>
    <w:rsid w:val="006C6F4B"/>
    <w:rsid w:val="006D4894"/>
    <w:rsid w:val="006D5397"/>
    <w:rsid w:val="006D7536"/>
    <w:rsid w:val="006D7F0B"/>
    <w:rsid w:val="006E06AF"/>
    <w:rsid w:val="006E553E"/>
    <w:rsid w:val="006E5CFE"/>
    <w:rsid w:val="006F29EE"/>
    <w:rsid w:val="006F3377"/>
    <w:rsid w:val="006F7F6D"/>
    <w:rsid w:val="007051EA"/>
    <w:rsid w:val="007068C0"/>
    <w:rsid w:val="00710DE5"/>
    <w:rsid w:val="00714A35"/>
    <w:rsid w:val="00715657"/>
    <w:rsid w:val="00716830"/>
    <w:rsid w:val="00717594"/>
    <w:rsid w:val="00717DCE"/>
    <w:rsid w:val="00722211"/>
    <w:rsid w:val="00723507"/>
    <w:rsid w:val="00723DC4"/>
    <w:rsid w:val="0072583B"/>
    <w:rsid w:val="00725B5F"/>
    <w:rsid w:val="007260D4"/>
    <w:rsid w:val="00727B10"/>
    <w:rsid w:val="0073472A"/>
    <w:rsid w:val="00735529"/>
    <w:rsid w:val="00737819"/>
    <w:rsid w:val="00737E88"/>
    <w:rsid w:val="00747D4A"/>
    <w:rsid w:val="00747E80"/>
    <w:rsid w:val="0075774E"/>
    <w:rsid w:val="007649DD"/>
    <w:rsid w:val="0077105B"/>
    <w:rsid w:val="00782251"/>
    <w:rsid w:val="00782F9C"/>
    <w:rsid w:val="00790577"/>
    <w:rsid w:val="00791987"/>
    <w:rsid w:val="00791AE0"/>
    <w:rsid w:val="00791BB7"/>
    <w:rsid w:val="007922E2"/>
    <w:rsid w:val="00794801"/>
    <w:rsid w:val="007A409C"/>
    <w:rsid w:val="007A7117"/>
    <w:rsid w:val="007B6295"/>
    <w:rsid w:val="007B710B"/>
    <w:rsid w:val="007B7EB2"/>
    <w:rsid w:val="007D03B3"/>
    <w:rsid w:val="007D19A2"/>
    <w:rsid w:val="007D5F3E"/>
    <w:rsid w:val="007D6797"/>
    <w:rsid w:val="007D6C40"/>
    <w:rsid w:val="007E0D8D"/>
    <w:rsid w:val="007E15DB"/>
    <w:rsid w:val="007E36C8"/>
    <w:rsid w:val="007E3B63"/>
    <w:rsid w:val="007E5113"/>
    <w:rsid w:val="007F76DF"/>
    <w:rsid w:val="00801C76"/>
    <w:rsid w:val="008045A0"/>
    <w:rsid w:val="008051B7"/>
    <w:rsid w:val="0080798F"/>
    <w:rsid w:val="00813FB2"/>
    <w:rsid w:val="008149FB"/>
    <w:rsid w:val="00816AB6"/>
    <w:rsid w:val="00817A25"/>
    <w:rsid w:val="00824547"/>
    <w:rsid w:val="00826E41"/>
    <w:rsid w:val="008428C3"/>
    <w:rsid w:val="00845DF5"/>
    <w:rsid w:val="00850C8F"/>
    <w:rsid w:val="00854ADA"/>
    <w:rsid w:val="00860E59"/>
    <w:rsid w:val="00862B55"/>
    <w:rsid w:val="0086313E"/>
    <w:rsid w:val="0087113A"/>
    <w:rsid w:val="008715CB"/>
    <w:rsid w:val="00873041"/>
    <w:rsid w:val="00873F8D"/>
    <w:rsid w:val="00874D8C"/>
    <w:rsid w:val="00876D1F"/>
    <w:rsid w:val="0088010E"/>
    <w:rsid w:val="008811E3"/>
    <w:rsid w:val="0088597D"/>
    <w:rsid w:val="00891A0E"/>
    <w:rsid w:val="00891CD8"/>
    <w:rsid w:val="00892302"/>
    <w:rsid w:val="008949BF"/>
    <w:rsid w:val="008A272E"/>
    <w:rsid w:val="008A2D3B"/>
    <w:rsid w:val="008A3F0F"/>
    <w:rsid w:val="008A466B"/>
    <w:rsid w:val="008A5BD5"/>
    <w:rsid w:val="008A6608"/>
    <w:rsid w:val="008B4512"/>
    <w:rsid w:val="008C0828"/>
    <w:rsid w:val="008C45BA"/>
    <w:rsid w:val="008C508B"/>
    <w:rsid w:val="008D03C0"/>
    <w:rsid w:val="008D6151"/>
    <w:rsid w:val="008D739D"/>
    <w:rsid w:val="008E6EF2"/>
    <w:rsid w:val="008E7125"/>
    <w:rsid w:val="008E7462"/>
    <w:rsid w:val="008E7EB7"/>
    <w:rsid w:val="008F0CE2"/>
    <w:rsid w:val="008F147C"/>
    <w:rsid w:val="008F2DDF"/>
    <w:rsid w:val="008F39B9"/>
    <w:rsid w:val="008F3D24"/>
    <w:rsid w:val="00902458"/>
    <w:rsid w:val="009026CE"/>
    <w:rsid w:val="00902823"/>
    <w:rsid w:val="00904AA5"/>
    <w:rsid w:val="00913BE6"/>
    <w:rsid w:val="009155D4"/>
    <w:rsid w:val="009177C2"/>
    <w:rsid w:val="00920418"/>
    <w:rsid w:val="00927A8D"/>
    <w:rsid w:val="00931F4E"/>
    <w:rsid w:val="00932CC8"/>
    <w:rsid w:val="009357D2"/>
    <w:rsid w:val="00935EDD"/>
    <w:rsid w:val="00935FFC"/>
    <w:rsid w:val="0093797E"/>
    <w:rsid w:val="00937F9A"/>
    <w:rsid w:val="00942027"/>
    <w:rsid w:val="009505A1"/>
    <w:rsid w:val="00951D20"/>
    <w:rsid w:val="0095246A"/>
    <w:rsid w:val="0095504D"/>
    <w:rsid w:val="00955E28"/>
    <w:rsid w:val="00956200"/>
    <w:rsid w:val="00960920"/>
    <w:rsid w:val="00962A50"/>
    <w:rsid w:val="0096376C"/>
    <w:rsid w:val="009648B0"/>
    <w:rsid w:val="00966A8E"/>
    <w:rsid w:val="00967716"/>
    <w:rsid w:val="00971683"/>
    <w:rsid w:val="0098105C"/>
    <w:rsid w:val="009812C2"/>
    <w:rsid w:val="0098303F"/>
    <w:rsid w:val="009836EA"/>
    <w:rsid w:val="0098609C"/>
    <w:rsid w:val="00986433"/>
    <w:rsid w:val="009872F7"/>
    <w:rsid w:val="0098790B"/>
    <w:rsid w:val="00987A9C"/>
    <w:rsid w:val="009907BD"/>
    <w:rsid w:val="0099180C"/>
    <w:rsid w:val="0099303D"/>
    <w:rsid w:val="00993A5B"/>
    <w:rsid w:val="009A2960"/>
    <w:rsid w:val="009A3944"/>
    <w:rsid w:val="009A77DA"/>
    <w:rsid w:val="009B1536"/>
    <w:rsid w:val="009B336C"/>
    <w:rsid w:val="009B7217"/>
    <w:rsid w:val="009C094A"/>
    <w:rsid w:val="009C09AD"/>
    <w:rsid w:val="009C2E00"/>
    <w:rsid w:val="009C2F3B"/>
    <w:rsid w:val="009C3FBB"/>
    <w:rsid w:val="009D04E8"/>
    <w:rsid w:val="009D30F0"/>
    <w:rsid w:val="009E07A1"/>
    <w:rsid w:val="009E087E"/>
    <w:rsid w:val="009E0F9B"/>
    <w:rsid w:val="009E1E1F"/>
    <w:rsid w:val="009E7275"/>
    <w:rsid w:val="009E745A"/>
    <w:rsid w:val="009F33A9"/>
    <w:rsid w:val="009F4806"/>
    <w:rsid w:val="009F4974"/>
    <w:rsid w:val="00A0178D"/>
    <w:rsid w:val="00A032B6"/>
    <w:rsid w:val="00A062E1"/>
    <w:rsid w:val="00A07F37"/>
    <w:rsid w:val="00A14762"/>
    <w:rsid w:val="00A14AE9"/>
    <w:rsid w:val="00A216A3"/>
    <w:rsid w:val="00A22710"/>
    <w:rsid w:val="00A25830"/>
    <w:rsid w:val="00A27748"/>
    <w:rsid w:val="00A31D32"/>
    <w:rsid w:val="00A41A00"/>
    <w:rsid w:val="00A42CF9"/>
    <w:rsid w:val="00A531F1"/>
    <w:rsid w:val="00A538DF"/>
    <w:rsid w:val="00A560A4"/>
    <w:rsid w:val="00A60684"/>
    <w:rsid w:val="00A61943"/>
    <w:rsid w:val="00A64C0F"/>
    <w:rsid w:val="00A65319"/>
    <w:rsid w:val="00A722EC"/>
    <w:rsid w:val="00A760F5"/>
    <w:rsid w:val="00A77C7E"/>
    <w:rsid w:val="00A80442"/>
    <w:rsid w:val="00A82882"/>
    <w:rsid w:val="00A82BB9"/>
    <w:rsid w:val="00A85A97"/>
    <w:rsid w:val="00A8605B"/>
    <w:rsid w:val="00A902AF"/>
    <w:rsid w:val="00A907A8"/>
    <w:rsid w:val="00A9116F"/>
    <w:rsid w:val="00A91AFC"/>
    <w:rsid w:val="00A92A29"/>
    <w:rsid w:val="00A93578"/>
    <w:rsid w:val="00A973F8"/>
    <w:rsid w:val="00AA2C07"/>
    <w:rsid w:val="00AB1187"/>
    <w:rsid w:val="00AB3D92"/>
    <w:rsid w:val="00AB4219"/>
    <w:rsid w:val="00AC5800"/>
    <w:rsid w:val="00AC79C7"/>
    <w:rsid w:val="00AD1459"/>
    <w:rsid w:val="00AD1BFA"/>
    <w:rsid w:val="00AD5B03"/>
    <w:rsid w:val="00AD5F5D"/>
    <w:rsid w:val="00AD6B51"/>
    <w:rsid w:val="00AD7182"/>
    <w:rsid w:val="00AF4750"/>
    <w:rsid w:val="00B07892"/>
    <w:rsid w:val="00B1134E"/>
    <w:rsid w:val="00B230A0"/>
    <w:rsid w:val="00B31ECE"/>
    <w:rsid w:val="00B31F07"/>
    <w:rsid w:val="00B322CA"/>
    <w:rsid w:val="00B32988"/>
    <w:rsid w:val="00B34BCE"/>
    <w:rsid w:val="00B356A6"/>
    <w:rsid w:val="00B357D3"/>
    <w:rsid w:val="00B371D9"/>
    <w:rsid w:val="00B413F3"/>
    <w:rsid w:val="00B4163E"/>
    <w:rsid w:val="00B44E59"/>
    <w:rsid w:val="00B47D49"/>
    <w:rsid w:val="00B5075A"/>
    <w:rsid w:val="00B54105"/>
    <w:rsid w:val="00B54822"/>
    <w:rsid w:val="00B5488C"/>
    <w:rsid w:val="00B54CF0"/>
    <w:rsid w:val="00B61801"/>
    <w:rsid w:val="00B62196"/>
    <w:rsid w:val="00B67072"/>
    <w:rsid w:val="00B70711"/>
    <w:rsid w:val="00B7150C"/>
    <w:rsid w:val="00B7622E"/>
    <w:rsid w:val="00B80883"/>
    <w:rsid w:val="00B82524"/>
    <w:rsid w:val="00B85D7B"/>
    <w:rsid w:val="00B87245"/>
    <w:rsid w:val="00B94AB3"/>
    <w:rsid w:val="00BA3093"/>
    <w:rsid w:val="00BB1FA1"/>
    <w:rsid w:val="00BB528E"/>
    <w:rsid w:val="00BB60A8"/>
    <w:rsid w:val="00BC0597"/>
    <w:rsid w:val="00BC0904"/>
    <w:rsid w:val="00BC2093"/>
    <w:rsid w:val="00BC5EFD"/>
    <w:rsid w:val="00BC6827"/>
    <w:rsid w:val="00BD0445"/>
    <w:rsid w:val="00BD06D4"/>
    <w:rsid w:val="00BD0E8C"/>
    <w:rsid w:val="00BD648D"/>
    <w:rsid w:val="00BE0FE7"/>
    <w:rsid w:val="00BE3F3C"/>
    <w:rsid w:val="00BE63DC"/>
    <w:rsid w:val="00C01722"/>
    <w:rsid w:val="00C01757"/>
    <w:rsid w:val="00C020EE"/>
    <w:rsid w:val="00C06838"/>
    <w:rsid w:val="00C07020"/>
    <w:rsid w:val="00C1062B"/>
    <w:rsid w:val="00C10B03"/>
    <w:rsid w:val="00C10CC2"/>
    <w:rsid w:val="00C10FA0"/>
    <w:rsid w:val="00C15AFA"/>
    <w:rsid w:val="00C15B2C"/>
    <w:rsid w:val="00C2629B"/>
    <w:rsid w:val="00C2728E"/>
    <w:rsid w:val="00C27E63"/>
    <w:rsid w:val="00C33E91"/>
    <w:rsid w:val="00C3682E"/>
    <w:rsid w:val="00C37954"/>
    <w:rsid w:val="00C44339"/>
    <w:rsid w:val="00C509D1"/>
    <w:rsid w:val="00C5118E"/>
    <w:rsid w:val="00C53C19"/>
    <w:rsid w:val="00C54104"/>
    <w:rsid w:val="00C61212"/>
    <w:rsid w:val="00C62BED"/>
    <w:rsid w:val="00C67F8D"/>
    <w:rsid w:val="00C702CA"/>
    <w:rsid w:val="00C70BB8"/>
    <w:rsid w:val="00C729E2"/>
    <w:rsid w:val="00C72C60"/>
    <w:rsid w:val="00C763E4"/>
    <w:rsid w:val="00C778A9"/>
    <w:rsid w:val="00C8035B"/>
    <w:rsid w:val="00C81622"/>
    <w:rsid w:val="00C817D3"/>
    <w:rsid w:val="00C87918"/>
    <w:rsid w:val="00C87D80"/>
    <w:rsid w:val="00C91494"/>
    <w:rsid w:val="00C94B7F"/>
    <w:rsid w:val="00C95B5C"/>
    <w:rsid w:val="00C97DF7"/>
    <w:rsid w:val="00CA07ED"/>
    <w:rsid w:val="00CA0C58"/>
    <w:rsid w:val="00CA2938"/>
    <w:rsid w:val="00CA3C45"/>
    <w:rsid w:val="00CA5BC7"/>
    <w:rsid w:val="00CB662B"/>
    <w:rsid w:val="00CC158E"/>
    <w:rsid w:val="00CC3C72"/>
    <w:rsid w:val="00CC6B7D"/>
    <w:rsid w:val="00CC6D49"/>
    <w:rsid w:val="00CD2FDF"/>
    <w:rsid w:val="00CD5488"/>
    <w:rsid w:val="00CE73B1"/>
    <w:rsid w:val="00CF06D8"/>
    <w:rsid w:val="00CF4212"/>
    <w:rsid w:val="00CF4D1A"/>
    <w:rsid w:val="00D014F1"/>
    <w:rsid w:val="00D03077"/>
    <w:rsid w:val="00D06070"/>
    <w:rsid w:val="00D1044D"/>
    <w:rsid w:val="00D117AA"/>
    <w:rsid w:val="00D14619"/>
    <w:rsid w:val="00D1515A"/>
    <w:rsid w:val="00D220A0"/>
    <w:rsid w:val="00D23A13"/>
    <w:rsid w:val="00D247B1"/>
    <w:rsid w:val="00D25ACD"/>
    <w:rsid w:val="00D340C0"/>
    <w:rsid w:val="00D3664D"/>
    <w:rsid w:val="00D36B5E"/>
    <w:rsid w:val="00D378B8"/>
    <w:rsid w:val="00D4575E"/>
    <w:rsid w:val="00D47B52"/>
    <w:rsid w:val="00D61596"/>
    <w:rsid w:val="00D675D7"/>
    <w:rsid w:val="00D67B9D"/>
    <w:rsid w:val="00D731D8"/>
    <w:rsid w:val="00D7498D"/>
    <w:rsid w:val="00D76D5C"/>
    <w:rsid w:val="00D77C30"/>
    <w:rsid w:val="00D827FC"/>
    <w:rsid w:val="00D83AE5"/>
    <w:rsid w:val="00D84732"/>
    <w:rsid w:val="00D87622"/>
    <w:rsid w:val="00D932B0"/>
    <w:rsid w:val="00D93C38"/>
    <w:rsid w:val="00D94ABF"/>
    <w:rsid w:val="00D962A7"/>
    <w:rsid w:val="00DA046D"/>
    <w:rsid w:val="00DA145D"/>
    <w:rsid w:val="00DA1486"/>
    <w:rsid w:val="00DA4B48"/>
    <w:rsid w:val="00DA5BF4"/>
    <w:rsid w:val="00DA5C23"/>
    <w:rsid w:val="00DA6BEB"/>
    <w:rsid w:val="00DA7A24"/>
    <w:rsid w:val="00DB0C98"/>
    <w:rsid w:val="00DB17D6"/>
    <w:rsid w:val="00DB23B0"/>
    <w:rsid w:val="00DB7F67"/>
    <w:rsid w:val="00DC1DAD"/>
    <w:rsid w:val="00DC37DC"/>
    <w:rsid w:val="00DC5D01"/>
    <w:rsid w:val="00DC76F3"/>
    <w:rsid w:val="00DD03D9"/>
    <w:rsid w:val="00DD7AE9"/>
    <w:rsid w:val="00DE06B0"/>
    <w:rsid w:val="00DF255B"/>
    <w:rsid w:val="00DF38BC"/>
    <w:rsid w:val="00DF686B"/>
    <w:rsid w:val="00DF697D"/>
    <w:rsid w:val="00E001AD"/>
    <w:rsid w:val="00E00A3C"/>
    <w:rsid w:val="00E011F6"/>
    <w:rsid w:val="00E0570B"/>
    <w:rsid w:val="00E05D40"/>
    <w:rsid w:val="00E111BB"/>
    <w:rsid w:val="00E11A49"/>
    <w:rsid w:val="00E17477"/>
    <w:rsid w:val="00E22047"/>
    <w:rsid w:val="00E222B9"/>
    <w:rsid w:val="00E25C31"/>
    <w:rsid w:val="00E26843"/>
    <w:rsid w:val="00E40CBF"/>
    <w:rsid w:val="00E40FFF"/>
    <w:rsid w:val="00E436FB"/>
    <w:rsid w:val="00E437F0"/>
    <w:rsid w:val="00E43E30"/>
    <w:rsid w:val="00E460C2"/>
    <w:rsid w:val="00E46621"/>
    <w:rsid w:val="00E52923"/>
    <w:rsid w:val="00E54551"/>
    <w:rsid w:val="00E5518E"/>
    <w:rsid w:val="00E55FDA"/>
    <w:rsid w:val="00E56FED"/>
    <w:rsid w:val="00E7523A"/>
    <w:rsid w:val="00E76946"/>
    <w:rsid w:val="00E86183"/>
    <w:rsid w:val="00E866E3"/>
    <w:rsid w:val="00E96C8B"/>
    <w:rsid w:val="00EA0482"/>
    <w:rsid w:val="00EA07DD"/>
    <w:rsid w:val="00EA52AF"/>
    <w:rsid w:val="00EB6EAF"/>
    <w:rsid w:val="00EB73A1"/>
    <w:rsid w:val="00EC37F1"/>
    <w:rsid w:val="00EC4AA7"/>
    <w:rsid w:val="00EC63FD"/>
    <w:rsid w:val="00ED262E"/>
    <w:rsid w:val="00ED3BFA"/>
    <w:rsid w:val="00ED6707"/>
    <w:rsid w:val="00ED7263"/>
    <w:rsid w:val="00EE0D6D"/>
    <w:rsid w:val="00EF331A"/>
    <w:rsid w:val="00EF5C58"/>
    <w:rsid w:val="00F00EE5"/>
    <w:rsid w:val="00F156EE"/>
    <w:rsid w:val="00F2506C"/>
    <w:rsid w:val="00F265CA"/>
    <w:rsid w:val="00F30C65"/>
    <w:rsid w:val="00F310A2"/>
    <w:rsid w:val="00F33B4C"/>
    <w:rsid w:val="00F42B20"/>
    <w:rsid w:val="00F453D0"/>
    <w:rsid w:val="00F46610"/>
    <w:rsid w:val="00F47C1D"/>
    <w:rsid w:val="00F57886"/>
    <w:rsid w:val="00F63BEE"/>
    <w:rsid w:val="00F64192"/>
    <w:rsid w:val="00F6511B"/>
    <w:rsid w:val="00F67962"/>
    <w:rsid w:val="00F70551"/>
    <w:rsid w:val="00F705AF"/>
    <w:rsid w:val="00F70737"/>
    <w:rsid w:val="00F76E43"/>
    <w:rsid w:val="00F77B00"/>
    <w:rsid w:val="00F86340"/>
    <w:rsid w:val="00F86A84"/>
    <w:rsid w:val="00F971E5"/>
    <w:rsid w:val="00F97F90"/>
    <w:rsid w:val="00FA10C0"/>
    <w:rsid w:val="00FA160C"/>
    <w:rsid w:val="00FA52DF"/>
    <w:rsid w:val="00FB04F1"/>
    <w:rsid w:val="00FB3111"/>
    <w:rsid w:val="00FB5B90"/>
    <w:rsid w:val="00FB6C5D"/>
    <w:rsid w:val="00FB76D0"/>
    <w:rsid w:val="00FC1ABB"/>
    <w:rsid w:val="00FC2C1E"/>
    <w:rsid w:val="00FC53C2"/>
    <w:rsid w:val="00FC77B3"/>
    <w:rsid w:val="00FD29C5"/>
    <w:rsid w:val="00FE06FF"/>
    <w:rsid w:val="00FE10A8"/>
    <w:rsid w:val="00FE2CAE"/>
    <w:rsid w:val="00FE5361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02F73-5AF2-4FB4-A05C-DCB4E7B6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6EA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360"/>
      </w:tabs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360"/>
      </w:tabs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left" w:pos="360"/>
      </w:tabs>
      <w:jc w:val="both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1"/>
        <w:numId w:val="1"/>
      </w:numPr>
      <w:spacing w:line="264" w:lineRule="auto"/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tabs>
        <w:tab w:val="left" w:pos="360"/>
      </w:tabs>
      <w:ind w:firstLine="720"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numPr>
        <w:numId w:val="2"/>
      </w:numPr>
      <w:outlineLvl w:val="5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tabs>
        <w:tab w:val="left" w:pos="360"/>
      </w:tabs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tabs>
        <w:tab w:val="left" w:pos="360"/>
      </w:tabs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tabs>
        <w:tab w:val="left" w:pos="360"/>
      </w:tabs>
      <w:jc w:val="both"/>
      <w:outlineLvl w:val="8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aliases w:val="Char Char Char Char Char Char1 Char Char Char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rFonts w:cs="Times New Roman"/>
      <w:sz w:val="24"/>
      <w:szCs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rFonts w:cs="Times New Roman"/>
      <w:b/>
      <w:bCs/>
      <w:sz w:val="24"/>
      <w:szCs w:val="24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02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360"/>
      </w:tabs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360"/>
      </w:tabs>
      <w:jc w:val="both"/>
    </w:pPr>
    <w:rPr>
      <w:color w:val="FF0000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spacing w:line="264" w:lineRule="auto"/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pPr>
      <w:ind w:left="36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after="120"/>
      <w:ind w:left="540" w:hanging="180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Nzov">
    <w:name w:val="Title"/>
    <w:basedOn w:val="Normlny"/>
    <w:link w:val="NzovChar"/>
    <w:uiPriority w:val="99"/>
    <w:qFormat/>
    <w:pPr>
      <w:spacing w:after="120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Dtum">
    <w:name w:val="Date"/>
    <w:basedOn w:val="Normlny"/>
    <w:next w:val="Normlny"/>
    <w:link w:val="DtumChar"/>
    <w:uiPriority w:val="99"/>
    <w:rPr>
      <w:sz w:val="24"/>
      <w:szCs w:val="24"/>
      <w:lang w:val="en-GB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rFonts w:ascii="Arial Black" w:hAnsi="Arial Black" w:cs="Arial Black"/>
      <w:b/>
      <w:bCs/>
      <w:sz w:val="24"/>
      <w:szCs w:val="24"/>
      <w:lang w:val="en-GB" w:eastAsia="en-US"/>
    </w:rPr>
  </w:style>
  <w:style w:type="character" w:customStyle="1" w:styleId="PodtitulChar">
    <w:name w:val="Podtitul Char"/>
    <w:basedOn w:val="Predvolenpsmoodseku"/>
    <w:link w:val="Podtitul"/>
    <w:uiPriority w:val="99"/>
    <w:locked/>
    <w:rPr>
      <w:rFonts w:ascii="Cambria" w:hAnsi="Cambria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rsid w:val="00DA4B48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3B68FE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3B68FE"/>
    <w:rPr>
      <w:rFonts w:cs="Times New Roman"/>
      <w:vertAlign w:val="superscript"/>
    </w:rPr>
  </w:style>
  <w:style w:type="paragraph" w:customStyle="1" w:styleId="Normlnywebov4">
    <w:name w:val="Normálny (webový)4"/>
    <w:basedOn w:val="Normlny"/>
    <w:uiPriority w:val="99"/>
    <w:rsid w:val="00C2728E"/>
    <w:pPr>
      <w:spacing w:after="210"/>
    </w:pPr>
    <w:rPr>
      <w:rFonts w:ascii="Tahoma" w:hAnsi="Tahoma" w:cs="Tahoma"/>
      <w:sz w:val="17"/>
      <w:szCs w:val="17"/>
      <w:lang w:eastAsia="sk-SK"/>
    </w:rPr>
  </w:style>
  <w:style w:type="paragraph" w:customStyle="1" w:styleId="CharCharCharCharCharChar1Char">
    <w:name w:val="Char Char Char Char Char Char1 Char"/>
    <w:basedOn w:val="Normlny"/>
    <w:uiPriority w:val="99"/>
    <w:rsid w:val="00C2728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Zoznamcitci">
    <w:name w:val="table of authorities"/>
    <w:basedOn w:val="Normlny"/>
    <w:uiPriority w:val="99"/>
    <w:semiHidden/>
    <w:rsid w:val="0099303D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sz w:val="24"/>
      <w:szCs w:val="24"/>
      <w:lang w:eastAsia="en-US"/>
    </w:rPr>
  </w:style>
  <w:style w:type="paragraph" w:customStyle="1" w:styleId="xl34">
    <w:name w:val="xl34"/>
    <w:basedOn w:val="Normlny"/>
    <w:uiPriority w:val="99"/>
    <w:rsid w:val="001744C3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CharCharCharCharCharCharChar">
    <w:name w:val="Char Char Char Char Char Char Char"/>
    <w:basedOn w:val="Normlny"/>
    <w:uiPriority w:val="99"/>
    <w:rsid w:val="008F147C"/>
    <w:rPr>
      <w:sz w:val="24"/>
      <w:szCs w:val="24"/>
      <w:lang w:val="pl-PL" w:eastAsia="pl-PL"/>
    </w:rPr>
  </w:style>
  <w:style w:type="paragraph" w:customStyle="1" w:styleId="Zarkazkladnhotextu21">
    <w:name w:val="Zarážka základného textu 21"/>
    <w:basedOn w:val="Normlny"/>
    <w:uiPriority w:val="99"/>
    <w:rsid w:val="00D47B52"/>
    <w:pPr>
      <w:suppressAutoHyphens/>
      <w:spacing w:line="264" w:lineRule="auto"/>
      <w:ind w:firstLine="708"/>
      <w:jc w:val="both"/>
    </w:pPr>
    <w:rPr>
      <w:sz w:val="24"/>
      <w:szCs w:val="24"/>
      <w:lang w:eastAsia="ar-SA"/>
    </w:rPr>
  </w:style>
  <w:style w:type="character" w:customStyle="1" w:styleId="WW8Num2z0">
    <w:name w:val="WW8Num2z0"/>
    <w:uiPriority w:val="99"/>
    <w:rsid w:val="00CE73B1"/>
    <w:rPr>
      <w:rFonts w:ascii="Times New Roman" w:hAnsi="Times New Roman"/>
      <w:position w:val="0"/>
      <w:sz w:val="24"/>
      <w:vertAlign w:val="baseline"/>
    </w:rPr>
  </w:style>
  <w:style w:type="paragraph" w:customStyle="1" w:styleId="Zkladntext21">
    <w:name w:val="Základný text 21"/>
    <w:basedOn w:val="Normlny"/>
    <w:uiPriority w:val="99"/>
    <w:rsid w:val="00CE73B1"/>
    <w:pPr>
      <w:tabs>
        <w:tab w:val="left" w:pos="360"/>
      </w:tabs>
      <w:suppressAutoHyphens/>
      <w:jc w:val="both"/>
    </w:pPr>
    <w:rPr>
      <w:sz w:val="24"/>
      <w:szCs w:val="24"/>
      <w:lang w:eastAsia="ar-SA"/>
    </w:rPr>
  </w:style>
  <w:style w:type="paragraph" w:customStyle="1" w:styleId="Zoznamcitci1">
    <w:name w:val="Zoznam citácií1"/>
    <w:basedOn w:val="Normlny"/>
    <w:uiPriority w:val="99"/>
    <w:rsid w:val="00794801"/>
    <w:pPr>
      <w:widowControl w:val="0"/>
      <w:tabs>
        <w:tab w:val="right" w:leader="dot" w:pos="8640"/>
      </w:tabs>
      <w:suppressAutoHyphens/>
      <w:spacing w:before="120" w:line="360" w:lineRule="auto"/>
      <w:ind w:left="360" w:hanging="360"/>
      <w:jc w:val="both"/>
    </w:pPr>
    <w:rPr>
      <w:sz w:val="24"/>
      <w:szCs w:val="24"/>
      <w:lang w:eastAsia="ar-SA"/>
    </w:rPr>
  </w:style>
  <w:style w:type="paragraph" w:customStyle="1" w:styleId="CharCharCharCharCharChar">
    <w:name w:val="Char Char Char Char Char Char"/>
    <w:basedOn w:val="Normlny"/>
    <w:uiPriority w:val="99"/>
    <w:rsid w:val="004A4220"/>
    <w:rPr>
      <w:sz w:val="24"/>
      <w:szCs w:val="24"/>
      <w:lang w:val="pl-PL" w:eastAsia="pl-PL"/>
    </w:rPr>
  </w:style>
  <w:style w:type="paragraph" w:customStyle="1" w:styleId="CharCharCharChar">
    <w:name w:val="Char Char Char Char"/>
    <w:basedOn w:val="Normlny"/>
    <w:uiPriority w:val="99"/>
    <w:rsid w:val="00A80442"/>
    <w:rPr>
      <w:sz w:val="24"/>
      <w:szCs w:val="24"/>
      <w:lang w:val="pl-PL" w:eastAsia="pl-PL"/>
    </w:rPr>
  </w:style>
  <w:style w:type="paragraph" w:customStyle="1" w:styleId="Zkladntext22">
    <w:name w:val="Základný text 22"/>
    <w:basedOn w:val="Normlny"/>
    <w:uiPriority w:val="99"/>
    <w:rsid w:val="003A208E"/>
    <w:pPr>
      <w:tabs>
        <w:tab w:val="left" w:pos="360"/>
      </w:tabs>
      <w:suppressAutoHyphens/>
      <w:jc w:val="both"/>
    </w:pPr>
    <w:rPr>
      <w:sz w:val="24"/>
      <w:szCs w:val="24"/>
      <w:lang w:eastAsia="ar-SA"/>
    </w:rPr>
  </w:style>
  <w:style w:type="paragraph" w:customStyle="1" w:styleId="CharCharCharCharCharChar1Char1">
    <w:name w:val="Char Char Char Char Char Char1 Char1"/>
    <w:basedOn w:val="Normlny"/>
    <w:uiPriority w:val="99"/>
    <w:rsid w:val="00955E28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510606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CharCharCharChar1CharCharCharCharCharChar">
    <w:name w:val="Char Char Char Char1 Char Char Char Char Char Char"/>
    <w:basedOn w:val="Normlny"/>
    <w:uiPriority w:val="99"/>
    <w:rsid w:val="00B61801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customStyle="1" w:styleId="Char">
    <w:name w:val="Char"/>
    <w:basedOn w:val="Normlny"/>
    <w:uiPriority w:val="99"/>
    <w:rsid w:val="00F76E43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customStyle="1" w:styleId="NumPar1">
    <w:name w:val="NumPar 1"/>
    <w:basedOn w:val="Normlny"/>
    <w:next w:val="Normlny"/>
    <w:uiPriority w:val="99"/>
    <w:rsid w:val="00F30C65"/>
    <w:pPr>
      <w:numPr>
        <w:numId w:val="4"/>
      </w:numPr>
      <w:tabs>
        <w:tab w:val="left" w:pos="851"/>
      </w:tabs>
      <w:spacing w:before="120" w:after="120"/>
      <w:jc w:val="both"/>
    </w:pPr>
    <w:rPr>
      <w:sz w:val="24"/>
      <w:szCs w:val="24"/>
      <w:lang w:val="en-GB" w:eastAsia="sk-SK"/>
    </w:rPr>
  </w:style>
  <w:style w:type="paragraph" w:customStyle="1" w:styleId="mojNORMALNY">
    <w:name w:val="moj NORMALNY"/>
    <w:uiPriority w:val="99"/>
    <w:rsid w:val="00A722E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Zvraznenie">
    <w:name w:val="Emphasis"/>
    <w:basedOn w:val="Predvolenpsmoodseku"/>
    <w:uiPriority w:val="99"/>
    <w:qFormat/>
    <w:rsid w:val="00FB3111"/>
    <w:rPr>
      <w:rFonts w:cs="Times New Roman"/>
      <w:b/>
      <w:bCs/>
    </w:rPr>
  </w:style>
  <w:style w:type="paragraph" w:customStyle="1" w:styleId="CharCharChar">
    <w:name w:val="Char Char Char"/>
    <w:basedOn w:val="Normlny"/>
    <w:uiPriority w:val="99"/>
    <w:rsid w:val="0035232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1CharCharCharCharChar">
    <w:name w:val="Text 1 Char Char Char Char Char"/>
    <w:basedOn w:val="Normlny"/>
    <w:link w:val="Text1CharCharCharCharCharChar"/>
    <w:uiPriority w:val="99"/>
    <w:rsid w:val="0035232E"/>
    <w:pPr>
      <w:spacing w:before="120" w:after="120"/>
      <w:ind w:left="850"/>
      <w:jc w:val="both"/>
    </w:pPr>
    <w:rPr>
      <w:sz w:val="24"/>
      <w:szCs w:val="24"/>
      <w:lang w:eastAsia="zh-CN"/>
    </w:rPr>
  </w:style>
  <w:style w:type="character" w:customStyle="1" w:styleId="Text1CharCharCharCharCharChar">
    <w:name w:val="Text 1 Char Char Char Char Char Char"/>
    <w:basedOn w:val="Predvolenpsmoodseku"/>
    <w:link w:val="Text1CharCharCharCharChar"/>
    <w:uiPriority w:val="99"/>
    <w:locked/>
    <w:rsid w:val="0035232E"/>
    <w:rPr>
      <w:rFonts w:cs="Times New Roman"/>
      <w:sz w:val="24"/>
      <w:szCs w:val="24"/>
      <w:lang w:val="sk-SK" w:eastAsia="zh-CN"/>
    </w:rPr>
  </w:style>
  <w:style w:type="paragraph" w:customStyle="1" w:styleId="CharCharCharChar1CharChar1CharCharCharChar">
    <w:name w:val="Char Char Char Char1 Char Char1 Char Char Char Char"/>
    <w:basedOn w:val="Normlny"/>
    <w:uiPriority w:val="99"/>
    <w:rsid w:val="00C817D3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customStyle="1" w:styleId="mojnormalny0">
    <w:name w:val="mojnormalny"/>
    <w:basedOn w:val="Normlny"/>
    <w:uiPriority w:val="99"/>
    <w:rsid w:val="00A60684"/>
    <w:pPr>
      <w:jc w:val="both"/>
    </w:pPr>
    <w:rPr>
      <w:rFonts w:ascii="Arial" w:hAnsi="Arial" w:cs="Arial"/>
      <w:lang w:eastAsia="sk-SK"/>
    </w:rPr>
  </w:style>
  <w:style w:type="paragraph" w:customStyle="1" w:styleId="Zkladntext1">
    <w:name w:val="Základní text1"/>
    <w:basedOn w:val="Normlny"/>
    <w:uiPriority w:val="99"/>
    <w:rsid w:val="006A4D86"/>
    <w:pPr>
      <w:widowControl w:val="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kladntextb">
    <w:name w:val="Základný text.b"/>
    <w:basedOn w:val="Normlny"/>
    <w:uiPriority w:val="99"/>
    <w:rsid w:val="0072583B"/>
    <w:pPr>
      <w:jc w:val="both"/>
    </w:pPr>
    <w:rPr>
      <w:sz w:val="24"/>
      <w:szCs w:val="24"/>
      <w:lang w:eastAsia="sk-SK"/>
    </w:rPr>
  </w:style>
  <w:style w:type="paragraph" w:customStyle="1" w:styleId="CharCharCharCharCharChar1">
    <w:name w:val="Char Char Char Char Char Char1"/>
    <w:basedOn w:val="Normlny"/>
    <w:uiPriority w:val="99"/>
    <w:rsid w:val="005442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4F0F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F0FA9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F0F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x-none" w:eastAsia="cs-CZ"/>
    </w:rPr>
  </w:style>
  <w:style w:type="character" w:styleId="PouitHypertextovPrepojenie">
    <w:name w:val="FollowedHyperlink"/>
    <w:basedOn w:val="Predvolenpsmoodseku"/>
    <w:uiPriority w:val="99"/>
    <w:rsid w:val="00697F9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.gov.sk" TargetMode="External"/><Relationship Id="rId13" Type="http://schemas.openxmlformats.org/officeDocument/2006/relationships/hyperlink" Target="NUL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.gov.sk" TargetMode="External"/><Relationship Id="rId17" Type="http://schemas.openxmlformats.org/officeDocument/2006/relationships/hyperlink" Target="http://www.apa.sk/index.php?navID=3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a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e.gov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nd.gov.sk" TargetMode="External"/><Relationship Id="rId10" Type="http://schemas.openxmlformats.org/officeDocument/2006/relationships/hyperlink" Target="http://www.nsrv.sk/index.php?pl=18&amp;article=34&amp;PHPSESSID=eff9e7eb2161e804dcf1407d2357e9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Relationship Id="rId14" Type="http://schemas.openxmlformats.org/officeDocument/2006/relationships/hyperlink" Target="http://www.apa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rv.sk/index.php?pl=18&amp;article=34&amp;PHPSESSID=eff9e7eb2161e804dcf1407d2357e9d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5A5B-A796-40FA-A866-E77926AA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4080</Words>
  <Characters>23260</Characters>
  <Application>Microsoft Office Word</Application>
  <DocSecurity>0</DocSecurity>
  <Lines>193</Lines>
  <Paragraphs>54</Paragraphs>
  <ScaleCrop>false</ScaleCrop>
  <Company>Agentura na podporu vedy a techniky</Company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podpory výskumu a vývoja Agentúrou na podporu vedy a techniky</dc:title>
  <dc:subject/>
  <dc:creator>ulrichova</dc:creator>
  <cp:keywords/>
  <dc:description/>
  <cp:lastModifiedBy>Juraj GOGORA</cp:lastModifiedBy>
  <cp:revision>2</cp:revision>
  <cp:lastPrinted>2011-05-25T10:46:00Z</cp:lastPrinted>
  <dcterms:created xsi:type="dcterms:W3CDTF">2018-04-16T08:27:00Z</dcterms:created>
  <dcterms:modified xsi:type="dcterms:W3CDTF">2018-04-16T08:27:00Z</dcterms:modified>
</cp:coreProperties>
</file>