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DA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caps/>
          <w:sz w:val="20"/>
        </w:rPr>
      </w:pPr>
      <w:bookmarkStart w:id="0" w:name="_GoBack"/>
      <w:bookmarkEnd w:id="0"/>
    </w:p>
    <w:p w:rsidR="00D86CDA" w:rsidRDefault="00AF516F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36195</wp:posOffset>
            </wp:positionV>
            <wp:extent cx="914400" cy="5588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Pôdohospodárska platobná agentúra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7E24C1" w:rsidRPr="006345D1" w:rsidRDefault="007E24C1" w:rsidP="007E24C1">
      <w:pPr>
        <w:pStyle w:val="Nzov"/>
        <w:tabs>
          <w:tab w:val="left" w:pos="1457"/>
          <w:tab w:val="center" w:pos="4153"/>
        </w:tabs>
        <w:jc w:val="both"/>
      </w:pPr>
      <w:r w:rsidRPr="006345D1">
        <w:rPr>
          <w:i/>
          <w:iCs/>
          <w:sz w:val="20"/>
        </w:rPr>
        <w:t>Ministerstvo pôdohospodárstva a rozvoja vidieka Slovenskej republiky</w:t>
      </w:r>
      <w:r w:rsidRPr="006345D1">
        <w:rPr>
          <w:i/>
          <w:iCs/>
          <w:sz w:val="20"/>
        </w:rPr>
        <w:tab/>
      </w:r>
      <w:r w:rsidRPr="006345D1">
        <w:rPr>
          <w:i/>
          <w:iCs/>
          <w:sz w:val="20"/>
        </w:rPr>
        <w:tab/>
      </w:r>
      <w:r w:rsidRPr="006345D1">
        <w:rPr>
          <w:i/>
          <w:iCs/>
          <w:sz w:val="20"/>
        </w:rPr>
        <w:tab/>
        <w:t>Európska únia</w:t>
      </w: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both"/>
      </w:pP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left"/>
      </w:pPr>
    </w:p>
    <w:p w:rsidR="00D86CDA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VÝZVA NA PREDKLADANIE ŽIADOSTÍ O NENÁVRATNÝ FINANČNÝ PRÍSPEVOK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z programu rozvoja vidieka </w:t>
      </w:r>
    </w:p>
    <w:p w:rsidR="00D86CDA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slovenskej republiky 2007 – 2013 </w:t>
      </w:r>
    </w:p>
    <w:p w:rsidR="00D86CDA" w:rsidRDefault="00D86CDA" w:rsidP="00D86CDA">
      <w:pPr>
        <w:pStyle w:val="Hlavika"/>
        <w:jc w:val="center"/>
        <w:rPr>
          <w:b/>
          <w:bCs/>
        </w:rPr>
      </w:pPr>
    </w:p>
    <w:p w:rsidR="00D86CDA" w:rsidRPr="003E4356" w:rsidRDefault="00D86CDA" w:rsidP="00D86CDA">
      <w:pPr>
        <w:pStyle w:val="Zarkazkladnhotextu"/>
        <w:ind w:firstLine="257"/>
        <w:rPr>
          <w:sz w:val="24"/>
          <w:lang w:eastAsia="sk-SK"/>
        </w:rPr>
      </w:pPr>
      <w:r w:rsidRPr="0028519F">
        <w:rPr>
          <w:b/>
          <w:sz w:val="24"/>
          <w:lang w:eastAsia="sk-SK"/>
        </w:rPr>
        <w:tab/>
      </w:r>
      <w:r w:rsidRPr="0028519F">
        <w:rPr>
          <w:b/>
          <w:sz w:val="24"/>
          <w:lang w:eastAsia="sk-SK"/>
        </w:rPr>
        <w:tab/>
      </w:r>
      <w:r w:rsidRPr="0028519F">
        <w:rPr>
          <w:b/>
          <w:sz w:val="24"/>
          <w:lang w:eastAsia="sk-SK"/>
        </w:rPr>
        <w:tab/>
      </w:r>
      <w:r w:rsidRPr="0028519F">
        <w:rPr>
          <w:b/>
          <w:sz w:val="24"/>
          <w:lang w:eastAsia="sk-SK"/>
        </w:rPr>
        <w:tab/>
        <w:t xml:space="preserve">Číslo výzvy: </w:t>
      </w:r>
      <w:r w:rsidRPr="0028519F">
        <w:rPr>
          <w:b/>
          <w:sz w:val="24"/>
          <w:lang w:eastAsia="sk-SK"/>
        </w:rPr>
        <w:tab/>
      </w:r>
      <w:r w:rsidR="00B2127F" w:rsidRPr="003E4356">
        <w:rPr>
          <w:b/>
          <w:sz w:val="24"/>
          <w:lang w:eastAsia="sk-SK"/>
        </w:rPr>
        <w:t>201</w:t>
      </w:r>
      <w:r w:rsidR="00206085">
        <w:rPr>
          <w:b/>
          <w:sz w:val="24"/>
          <w:lang w:eastAsia="sk-SK"/>
        </w:rPr>
        <w:t>3</w:t>
      </w:r>
      <w:r w:rsidRPr="003E4356">
        <w:rPr>
          <w:b/>
          <w:sz w:val="24"/>
          <w:lang w:eastAsia="sk-SK"/>
        </w:rPr>
        <w:t>/PRV/</w:t>
      </w:r>
      <w:r w:rsidR="003C444A">
        <w:rPr>
          <w:b/>
          <w:sz w:val="24"/>
          <w:lang w:eastAsia="sk-SK"/>
        </w:rPr>
        <w:t>3</w:t>
      </w:r>
      <w:r w:rsidR="00526BB9">
        <w:rPr>
          <w:b/>
          <w:sz w:val="24"/>
          <w:lang w:eastAsia="sk-SK"/>
        </w:rPr>
        <w:t>3</w:t>
      </w:r>
      <w:r w:rsidRPr="003E4356">
        <w:rPr>
          <w:b/>
          <w:sz w:val="24"/>
          <w:lang w:eastAsia="sk-SK"/>
        </w:rPr>
        <w:tab/>
      </w:r>
    </w:p>
    <w:p w:rsidR="008769D3" w:rsidRPr="003E4356" w:rsidRDefault="008769D3" w:rsidP="008769D3">
      <w:pPr>
        <w:pStyle w:val="Zarkazkladnhotextu"/>
        <w:rPr>
          <w:sz w:val="24"/>
          <w:lang w:eastAsia="sk-SK"/>
        </w:rPr>
      </w:pPr>
    </w:p>
    <w:p w:rsidR="00D86CDA" w:rsidRPr="003E4356" w:rsidRDefault="008769D3" w:rsidP="008769D3">
      <w:pPr>
        <w:pStyle w:val="Zarkazkladnhotextu"/>
        <w:rPr>
          <w:sz w:val="24"/>
          <w:szCs w:val="24"/>
          <w:lang w:eastAsia="sk-SK"/>
        </w:rPr>
      </w:pPr>
      <w:r w:rsidRPr="003E4356">
        <w:rPr>
          <w:color w:val="000000"/>
          <w:sz w:val="24"/>
          <w:szCs w:val="24"/>
        </w:rPr>
        <w:t xml:space="preserve">Pôdohospodárska platobná agentúra </w:t>
      </w:r>
      <w:r w:rsidR="00342255" w:rsidRPr="003E4356">
        <w:rPr>
          <w:color w:val="000000"/>
          <w:sz w:val="24"/>
          <w:szCs w:val="24"/>
        </w:rPr>
        <w:t xml:space="preserve">(ďalej len </w:t>
      </w:r>
      <w:r w:rsidR="003B05E4" w:rsidRPr="003E4356">
        <w:rPr>
          <w:color w:val="000000"/>
          <w:sz w:val="24"/>
          <w:szCs w:val="24"/>
        </w:rPr>
        <w:t>„</w:t>
      </w:r>
      <w:r w:rsidR="00342255" w:rsidRPr="003E4356">
        <w:rPr>
          <w:color w:val="000000"/>
          <w:sz w:val="24"/>
          <w:szCs w:val="24"/>
        </w:rPr>
        <w:t>PPA</w:t>
      </w:r>
      <w:r w:rsidR="003B05E4" w:rsidRPr="003E4356">
        <w:rPr>
          <w:color w:val="000000"/>
          <w:sz w:val="24"/>
          <w:szCs w:val="24"/>
        </w:rPr>
        <w:t>“</w:t>
      </w:r>
      <w:r w:rsidR="00342255" w:rsidRPr="003E4356">
        <w:rPr>
          <w:color w:val="000000"/>
          <w:sz w:val="24"/>
          <w:szCs w:val="24"/>
        </w:rPr>
        <w:t xml:space="preserve">) </w:t>
      </w:r>
      <w:r w:rsidRPr="003E4356">
        <w:rPr>
          <w:color w:val="000000"/>
          <w:sz w:val="24"/>
          <w:szCs w:val="24"/>
        </w:rPr>
        <w:t xml:space="preserve">na základe súhlasu </w:t>
      </w:r>
      <w:r w:rsidRPr="003E4356">
        <w:rPr>
          <w:bCs/>
          <w:color w:val="000000"/>
          <w:sz w:val="24"/>
          <w:szCs w:val="24"/>
        </w:rPr>
        <w:t xml:space="preserve">Ministerstva pôdohospodárstva a rozvoja vidieka SR </w:t>
      </w:r>
      <w:r w:rsidRPr="003E4356">
        <w:rPr>
          <w:color w:val="000000"/>
          <w:sz w:val="24"/>
          <w:szCs w:val="24"/>
        </w:rPr>
        <w:t>(ďalej len „MPRV</w:t>
      </w:r>
      <w:r w:rsidR="00EE4FF4" w:rsidRPr="003E4356">
        <w:rPr>
          <w:color w:val="000000"/>
          <w:sz w:val="24"/>
          <w:szCs w:val="24"/>
        </w:rPr>
        <w:t xml:space="preserve"> SR</w:t>
      </w:r>
      <w:r w:rsidRPr="003E4356">
        <w:rPr>
          <w:color w:val="000000"/>
          <w:sz w:val="24"/>
          <w:szCs w:val="24"/>
        </w:rPr>
        <w:t xml:space="preserve">“) </w:t>
      </w:r>
      <w:r w:rsidRPr="003E4356">
        <w:rPr>
          <w:snapToGrid w:val="0"/>
          <w:color w:val="000000"/>
          <w:sz w:val="24"/>
          <w:szCs w:val="24"/>
        </w:rPr>
        <w:t xml:space="preserve">ako riadiaceho orgánu, ktorý je </w:t>
      </w:r>
      <w:r w:rsidRPr="003E4356">
        <w:rPr>
          <w:color w:val="000000"/>
          <w:sz w:val="24"/>
          <w:szCs w:val="24"/>
        </w:rPr>
        <w:t xml:space="preserve">zodpovedný za riadenie a vykonávanie Programu rozvoja vidieka SR 2007 – 2013 </w:t>
      </w:r>
      <w:r w:rsidRPr="003E4356">
        <w:rPr>
          <w:bCs/>
          <w:color w:val="000000"/>
          <w:sz w:val="24"/>
          <w:szCs w:val="24"/>
        </w:rPr>
        <w:t xml:space="preserve">vyhlasuje </w:t>
      </w:r>
      <w:r w:rsidR="004108D7" w:rsidRPr="003E4356">
        <w:rPr>
          <w:bCs/>
          <w:color w:val="000000"/>
          <w:sz w:val="24"/>
          <w:szCs w:val="24"/>
        </w:rPr>
        <w:t>v zmysle ustanovení zákona č. 528/2008 Z.z. v znení neskorších predpisov</w:t>
      </w:r>
      <w:r w:rsidR="004108D7" w:rsidRPr="003E4356">
        <w:rPr>
          <w:b/>
          <w:bCs/>
          <w:color w:val="000000"/>
          <w:sz w:val="24"/>
          <w:szCs w:val="24"/>
        </w:rPr>
        <w:t xml:space="preserve"> </w:t>
      </w:r>
      <w:r w:rsidR="002F3AF0" w:rsidRPr="003E4356">
        <w:rPr>
          <w:b/>
          <w:bCs/>
          <w:color w:val="000000"/>
          <w:sz w:val="24"/>
          <w:szCs w:val="24"/>
        </w:rPr>
        <w:t>výzvu na</w:t>
      </w:r>
      <w:r w:rsidRPr="003E4356">
        <w:rPr>
          <w:b/>
          <w:bCs/>
          <w:color w:val="000000"/>
          <w:sz w:val="24"/>
          <w:szCs w:val="24"/>
        </w:rPr>
        <w:t xml:space="preserve"> predkladani</w:t>
      </w:r>
      <w:r w:rsidR="00F23E3F" w:rsidRPr="003E4356">
        <w:rPr>
          <w:b/>
          <w:bCs/>
          <w:color w:val="000000"/>
          <w:sz w:val="24"/>
          <w:szCs w:val="24"/>
        </w:rPr>
        <w:t>e</w:t>
      </w:r>
      <w:r w:rsidRPr="003E4356">
        <w:rPr>
          <w:b/>
          <w:bCs/>
          <w:color w:val="000000"/>
          <w:sz w:val="24"/>
          <w:szCs w:val="24"/>
        </w:rPr>
        <w:t xml:space="preserve"> Žiadostí o poskytnutie nenávratného finančného príspevku z Programu rozvoja vidieka SR 2007 – 2013</w:t>
      </w:r>
      <w:r w:rsidRPr="003E4356">
        <w:rPr>
          <w:color w:val="000000"/>
          <w:sz w:val="24"/>
          <w:szCs w:val="24"/>
        </w:rPr>
        <w:t xml:space="preserve"> (ďalej len „</w:t>
      </w:r>
      <w:r w:rsidR="002F3AF0" w:rsidRPr="003E4356">
        <w:rPr>
          <w:color w:val="000000"/>
          <w:sz w:val="24"/>
          <w:szCs w:val="24"/>
        </w:rPr>
        <w:t>Výzva</w:t>
      </w:r>
      <w:r w:rsidRPr="003E4356">
        <w:rPr>
          <w:color w:val="000000"/>
          <w:sz w:val="24"/>
          <w:szCs w:val="24"/>
        </w:rPr>
        <w:t>“),</w:t>
      </w:r>
    </w:p>
    <w:p w:rsidR="008769D3" w:rsidRPr="003E4356" w:rsidRDefault="008769D3" w:rsidP="00D86CDA">
      <w:pPr>
        <w:pStyle w:val="Zarkazkladnhotextu"/>
        <w:ind w:firstLine="257"/>
        <w:rPr>
          <w:sz w:val="24"/>
          <w:lang w:eastAsia="sk-SK"/>
        </w:rPr>
      </w:pPr>
    </w:p>
    <w:p w:rsidR="00D86CDA" w:rsidRPr="003E4356" w:rsidRDefault="00D86CDA" w:rsidP="00D86CDA">
      <w:pPr>
        <w:pStyle w:val="Zarkazkladnhotextu"/>
        <w:ind w:firstLine="540"/>
        <w:jc w:val="center"/>
        <w:rPr>
          <w:sz w:val="24"/>
          <w:szCs w:val="24"/>
          <w:lang w:eastAsia="sk-SK"/>
        </w:rPr>
      </w:pPr>
      <w:r w:rsidRPr="003E4356">
        <w:rPr>
          <w:b/>
          <w:sz w:val="24"/>
          <w:lang w:eastAsia="sk-SK"/>
        </w:rPr>
        <w:t xml:space="preserve">pre opatrenie </w:t>
      </w:r>
      <w:r w:rsidR="002D7530">
        <w:rPr>
          <w:b/>
          <w:sz w:val="24"/>
          <w:lang w:eastAsia="sk-SK"/>
        </w:rPr>
        <w:t>3.3. V</w:t>
      </w:r>
      <w:r w:rsidR="003C444A" w:rsidRPr="0094295F">
        <w:rPr>
          <w:b/>
        </w:rPr>
        <w:t>zdelávanie a inform</w:t>
      </w:r>
      <w:r w:rsidR="002D7530">
        <w:rPr>
          <w:b/>
        </w:rPr>
        <w:t>ovanie</w:t>
      </w:r>
    </w:p>
    <w:p w:rsidR="00D86CDA" w:rsidRPr="003E4356" w:rsidRDefault="00D86CDA" w:rsidP="00D86CDA">
      <w:pPr>
        <w:pStyle w:val="Zarkazkladnhotextu"/>
        <w:spacing w:line="280" w:lineRule="exact"/>
        <w:ind w:left="540" w:hanging="540"/>
        <w:jc w:val="center"/>
        <w:rPr>
          <w:b/>
          <w:sz w:val="24"/>
          <w:szCs w:val="24"/>
          <w:lang w:eastAsia="sk-SK"/>
        </w:rPr>
      </w:pPr>
    </w:p>
    <w:p w:rsidR="00D86CDA" w:rsidRPr="00B11C5F" w:rsidRDefault="00D86CDA" w:rsidP="00D86CDA">
      <w:pPr>
        <w:pStyle w:val="Zarkazkladnhotextu"/>
        <w:spacing w:line="280" w:lineRule="exact"/>
        <w:ind w:left="540" w:hanging="540"/>
        <w:jc w:val="center"/>
        <w:rPr>
          <w:b/>
          <w:sz w:val="24"/>
          <w:lang w:eastAsia="sk-SK"/>
        </w:rPr>
      </w:pPr>
      <w:r w:rsidRPr="00B11C5F">
        <w:rPr>
          <w:b/>
          <w:sz w:val="24"/>
          <w:lang w:eastAsia="sk-SK"/>
        </w:rPr>
        <w:t xml:space="preserve">v termíne  od </w:t>
      </w:r>
      <w:r w:rsidR="003C444A" w:rsidRPr="00B11C5F">
        <w:rPr>
          <w:b/>
          <w:sz w:val="24"/>
          <w:lang w:eastAsia="sk-SK"/>
        </w:rPr>
        <w:t>16.12</w:t>
      </w:r>
      <w:r w:rsidR="008769D3" w:rsidRPr="00B11C5F">
        <w:rPr>
          <w:b/>
          <w:sz w:val="24"/>
          <w:lang w:eastAsia="sk-SK"/>
        </w:rPr>
        <w:t>.201</w:t>
      </w:r>
      <w:r w:rsidR="003E4356" w:rsidRPr="00B11C5F">
        <w:rPr>
          <w:b/>
          <w:sz w:val="24"/>
          <w:lang w:eastAsia="sk-SK"/>
        </w:rPr>
        <w:t>3</w:t>
      </w:r>
      <w:r w:rsidRPr="00B11C5F">
        <w:rPr>
          <w:b/>
          <w:sz w:val="24"/>
          <w:lang w:eastAsia="sk-SK"/>
        </w:rPr>
        <w:t xml:space="preserve"> do </w:t>
      </w:r>
      <w:r w:rsidR="00BE79BE" w:rsidRPr="00B11C5F">
        <w:rPr>
          <w:b/>
          <w:sz w:val="24"/>
          <w:lang w:eastAsia="sk-SK"/>
        </w:rPr>
        <w:t>3</w:t>
      </w:r>
      <w:r w:rsidR="003E4356" w:rsidRPr="00B11C5F">
        <w:rPr>
          <w:b/>
          <w:sz w:val="24"/>
          <w:lang w:eastAsia="sk-SK"/>
        </w:rPr>
        <w:t>0.</w:t>
      </w:r>
      <w:r w:rsidR="003C444A" w:rsidRPr="00B11C5F">
        <w:rPr>
          <w:b/>
          <w:sz w:val="24"/>
          <w:lang w:eastAsia="sk-SK"/>
        </w:rPr>
        <w:t>12</w:t>
      </w:r>
      <w:r w:rsidR="003E4356" w:rsidRPr="00B11C5F">
        <w:rPr>
          <w:b/>
          <w:sz w:val="24"/>
          <w:lang w:eastAsia="sk-SK"/>
        </w:rPr>
        <w:t>.2013</w:t>
      </w:r>
    </w:p>
    <w:p w:rsidR="008C57D8" w:rsidRPr="00B11C5F" w:rsidRDefault="008C57D8" w:rsidP="00D86CDA">
      <w:pPr>
        <w:pStyle w:val="Zarkazkladnhotextu"/>
        <w:spacing w:line="280" w:lineRule="exact"/>
        <w:ind w:left="540" w:hanging="540"/>
        <w:jc w:val="center"/>
        <w:rPr>
          <w:b/>
          <w:color w:val="FF0000"/>
          <w:sz w:val="24"/>
          <w:lang w:eastAsia="sk-SK"/>
        </w:rPr>
      </w:pPr>
    </w:p>
    <w:p w:rsidR="00D86CDA" w:rsidRDefault="00D86CDA" w:rsidP="00466C6B">
      <w:pPr>
        <w:numPr>
          <w:ilvl w:val="0"/>
          <w:numId w:val="26"/>
        </w:numPr>
        <w:tabs>
          <w:tab w:val="left" w:pos="284"/>
        </w:tabs>
        <w:spacing w:line="280" w:lineRule="exact"/>
        <w:ind w:hanging="720"/>
        <w:rPr>
          <w:b/>
          <w:bCs/>
        </w:rPr>
      </w:pPr>
      <w:r w:rsidRPr="008705E3">
        <w:rPr>
          <w:b/>
          <w:bCs/>
        </w:rPr>
        <w:t>Rozpočet</w:t>
      </w:r>
    </w:p>
    <w:p w:rsidR="00466C6B" w:rsidRPr="008705E3" w:rsidRDefault="00466C6B" w:rsidP="00466C6B">
      <w:pPr>
        <w:tabs>
          <w:tab w:val="left" w:pos="284"/>
        </w:tabs>
        <w:spacing w:line="280" w:lineRule="exact"/>
        <w:ind w:left="720"/>
        <w:rPr>
          <w:b/>
          <w:bCs/>
        </w:rPr>
      </w:pPr>
    </w:p>
    <w:p w:rsidR="008C57D8" w:rsidRPr="00AD508E" w:rsidRDefault="000F6F0E" w:rsidP="00326817">
      <w:pPr>
        <w:jc w:val="both"/>
        <w:rPr>
          <w:b/>
        </w:rPr>
      </w:pPr>
      <w:r>
        <w:rPr>
          <w:b/>
          <w:bCs/>
        </w:rPr>
        <w:t>Indikatívny finančný rámec</w:t>
      </w:r>
      <w:r w:rsidR="008769D3" w:rsidRPr="008705E3">
        <w:rPr>
          <w:b/>
        </w:rPr>
        <w:t xml:space="preserve"> disponibilných finančných prost</w:t>
      </w:r>
      <w:r w:rsidR="00EE4FF4" w:rsidRPr="008705E3">
        <w:rPr>
          <w:b/>
        </w:rPr>
        <w:t>riedkov pre Výzvu č. 201</w:t>
      </w:r>
      <w:r w:rsidR="006D5A16">
        <w:rPr>
          <w:b/>
        </w:rPr>
        <w:t>3</w:t>
      </w:r>
      <w:r w:rsidR="00EE4FF4" w:rsidRPr="008705E3">
        <w:rPr>
          <w:b/>
        </w:rPr>
        <w:t>/PRV/</w:t>
      </w:r>
      <w:r w:rsidR="003C444A" w:rsidRPr="00AD508E">
        <w:rPr>
          <w:b/>
        </w:rPr>
        <w:t>3</w:t>
      </w:r>
      <w:r w:rsidR="00AD508E" w:rsidRPr="00AD508E">
        <w:rPr>
          <w:b/>
        </w:rPr>
        <w:t>3</w:t>
      </w:r>
      <w:r w:rsidR="008769D3" w:rsidRPr="00AD508E">
        <w:rPr>
          <w:b/>
        </w:rPr>
        <w:t xml:space="preserve"> je </w:t>
      </w:r>
      <w:r w:rsidR="00AD508E" w:rsidRPr="00AD508E">
        <w:rPr>
          <w:b/>
        </w:rPr>
        <w:t xml:space="preserve">2 434 383,09 </w:t>
      </w:r>
      <w:r w:rsidR="008C57D8" w:rsidRPr="00AD508E">
        <w:rPr>
          <w:b/>
        </w:rPr>
        <w:t>EUR, z toho pre:</w:t>
      </w:r>
    </w:p>
    <w:p w:rsidR="008C57D8" w:rsidRPr="00AD508E" w:rsidRDefault="008C57D8" w:rsidP="00AD508E">
      <w:pPr>
        <w:ind w:left="360"/>
        <w:jc w:val="both"/>
        <w:rPr>
          <w:b/>
        </w:rPr>
      </w:pPr>
      <w:r w:rsidRPr="00AD508E">
        <w:rPr>
          <w:b/>
        </w:rPr>
        <w:t xml:space="preserve">Cieľ Konvergencia: </w:t>
      </w:r>
      <w:r w:rsidR="00AD508E" w:rsidRPr="00AD508E">
        <w:rPr>
          <w:b/>
        </w:rPr>
        <w:t xml:space="preserve">2 413 919,88 </w:t>
      </w:r>
      <w:r w:rsidR="008705E3" w:rsidRPr="00AD508E">
        <w:rPr>
          <w:b/>
        </w:rPr>
        <w:t xml:space="preserve"> </w:t>
      </w:r>
      <w:r w:rsidRPr="00AD508E">
        <w:rPr>
          <w:b/>
        </w:rPr>
        <w:t>EUR</w:t>
      </w:r>
    </w:p>
    <w:p w:rsidR="008C57D8" w:rsidRPr="008705E3" w:rsidRDefault="00AD508E" w:rsidP="00AD508E">
      <w:pPr>
        <w:ind w:left="284"/>
        <w:jc w:val="both"/>
        <w:rPr>
          <w:b/>
        </w:rPr>
      </w:pPr>
      <w:r w:rsidRPr="00AD508E">
        <w:rPr>
          <w:b/>
        </w:rPr>
        <w:t xml:space="preserve"> </w:t>
      </w:r>
      <w:r w:rsidR="008C57D8" w:rsidRPr="00AD508E">
        <w:rPr>
          <w:b/>
        </w:rPr>
        <w:t>Oblasti mimo cieľa Konvergencia:</w:t>
      </w:r>
      <w:r w:rsidRPr="00AD508E">
        <w:rPr>
          <w:b/>
        </w:rPr>
        <w:t xml:space="preserve"> 20 463,21</w:t>
      </w:r>
      <w:r w:rsidR="008705E3" w:rsidRPr="00AD508E">
        <w:rPr>
          <w:b/>
        </w:rPr>
        <w:t xml:space="preserve"> </w:t>
      </w:r>
      <w:r w:rsidR="008C57D8" w:rsidRPr="00AD508E">
        <w:rPr>
          <w:b/>
        </w:rPr>
        <w:t>EUR</w:t>
      </w:r>
    </w:p>
    <w:p w:rsidR="006D5C98" w:rsidRDefault="006D5C98" w:rsidP="008C57D8">
      <w:pPr>
        <w:tabs>
          <w:tab w:val="left" w:pos="540"/>
        </w:tabs>
        <w:spacing w:line="280" w:lineRule="exact"/>
        <w:jc w:val="both"/>
        <w:rPr>
          <w:b/>
          <w:bCs/>
          <w:color w:val="000000"/>
        </w:rPr>
      </w:pPr>
    </w:p>
    <w:p w:rsidR="00AD508E" w:rsidRDefault="00AD508E" w:rsidP="00AD508E">
      <w:pPr>
        <w:rPr>
          <w:rFonts w:ascii="Arial" w:hAnsi="Arial"/>
          <w:sz w:val="20"/>
          <w:szCs w:val="20"/>
        </w:rPr>
      </w:pPr>
      <w:r>
        <w:t xml:space="preserve">cieľ konvergencie:          </w:t>
      </w:r>
    </w:p>
    <w:p w:rsidR="00AD508E" w:rsidRDefault="00AD508E" w:rsidP="00AD508E">
      <w:pPr>
        <w:rPr>
          <w:rFonts w:ascii="Arial" w:hAnsi="Arial"/>
          <w:sz w:val="20"/>
          <w:szCs w:val="20"/>
        </w:rPr>
      </w:pPr>
      <w:r>
        <w:t xml:space="preserve">ostatné oblasti:                </w:t>
      </w:r>
    </w:p>
    <w:p w:rsidR="00AD508E" w:rsidRDefault="00AD508E" w:rsidP="008C57D8">
      <w:pPr>
        <w:tabs>
          <w:tab w:val="left" w:pos="540"/>
        </w:tabs>
        <w:spacing w:line="280" w:lineRule="exact"/>
        <w:jc w:val="both"/>
        <w:rPr>
          <w:b/>
          <w:bCs/>
          <w:color w:val="000000"/>
        </w:rPr>
      </w:pPr>
    </w:p>
    <w:p w:rsidR="00AD508E" w:rsidRDefault="00AD508E" w:rsidP="008C57D8">
      <w:pPr>
        <w:tabs>
          <w:tab w:val="left" w:pos="540"/>
        </w:tabs>
        <w:spacing w:line="280" w:lineRule="exact"/>
        <w:jc w:val="both"/>
        <w:rPr>
          <w:b/>
          <w:bCs/>
          <w:color w:val="000000"/>
        </w:rPr>
      </w:pPr>
    </w:p>
    <w:p w:rsidR="00AD508E" w:rsidRDefault="00AD508E" w:rsidP="008C57D8">
      <w:pPr>
        <w:tabs>
          <w:tab w:val="left" w:pos="540"/>
        </w:tabs>
        <w:spacing w:line="280" w:lineRule="exact"/>
        <w:jc w:val="both"/>
        <w:rPr>
          <w:b/>
          <w:bCs/>
          <w:color w:val="000000"/>
        </w:rPr>
      </w:pPr>
    </w:p>
    <w:p w:rsidR="00BC4386" w:rsidRDefault="00BC4386" w:rsidP="00162905">
      <w:pPr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Opr</w:t>
      </w:r>
      <w:r w:rsidR="00E807F1">
        <w:rPr>
          <w:b/>
          <w:bCs/>
          <w:color w:val="000000"/>
        </w:rPr>
        <w:t>ávnenosť konečného prijímateľa - oprávneného žiadateľa (ďalej len žiadateľ)</w:t>
      </w:r>
      <w:r>
        <w:rPr>
          <w:b/>
          <w:bCs/>
          <w:color w:val="000000"/>
        </w:rPr>
        <w:t>:</w:t>
      </w:r>
    </w:p>
    <w:p w:rsidR="003C444A" w:rsidRPr="0094295F" w:rsidRDefault="003C444A" w:rsidP="00916298">
      <w:pPr>
        <w:spacing w:beforeLines="60" w:before="144"/>
        <w:ind w:left="720"/>
        <w:rPr>
          <w:b/>
          <w:bCs/>
          <w:noProof/>
        </w:rPr>
      </w:pPr>
      <w:r w:rsidRPr="0094295F">
        <w:rPr>
          <w:b/>
          <w:noProof/>
        </w:rPr>
        <w:t>Konečný prijímateľ finančnej pomoci (oprávnený žiadateľ</w:t>
      </w:r>
      <w:r w:rsidRPr="0094295F">
        <w:rPr>
          <w:b/>
          <w:bCs/>
          <w:noProof/>
        </w:rPr>
        <w:t>)</w:t>
      </w:r>
    </w:p>
    <w:p w:rsidR="003C444A" w:rsidRPr="0094295F" w:rsidRDefault="003C444A" w:rsidP="00916298">
      <w:pPr>
        <w:widowControl w:val="0"/>
        <w:spacing w:beforeLines="60" w:before="144"/>
        <w:ind w:left="720"/>
        <w:jc w:val="both"/>
        <w:rPr>
          <w:noProof/>
        </w:rPr>
      </w:pPr>
      <w:r w:rsidRPr="0094295F">
        <w:rPr>
          <w:noProof/>
        </w:rPr>
        <w:t>Oprávneným žiadateľo</w:t>
      </w:r>
      <w:r>
        <w:rPr>
          <w:noProof/>
        </w:rPr>
        <w:t xml:space="preserve">m </w:t>
      </w:r>
      <w:r w:rsidRPr="0094295F">
        <w:rPr>
          <w:noProof/>
        </w:rPr>
        <w:t>sú subjekty – inštitúcie, pôsobiace v oblasti vedy, výskumu a ďalšieho vzdelávania a v predmete svojej činnosti majú vzdelávacie aktivity alebo poskytovanie informačných aktivít (štátne príspevkové a rozpočtové organizácie, verejno-právne inštitúcie, neziskové organizácie, občianske a záujmové združenia, profesijné komory, štátne podniky).</w:t>
      </w:r>
    </w:p>
    <w:p w:rsidR="003C444A" w:rsidRPr="0094295F" w:rsidRDefault="003C444A" w:rsidP="00916298">
      <w:pPr>
        <w:spacing w:beforeLines="60" w:before="144"/>
        <w:ind w:left="720"/>
        <w:rPr>
          <w:b/>
          <w:bCs/>
          <w:noProof/>
        </w:rPr>
      </w:pPr>
      <w:r w:rsidRPr="0094295F">
        <w:rPr>
          <w:b/>
          <w:bCs/>
          <w:noProof/>
        </w:rPr>
        <w:t>Konečný prijímateľ nefinančnej pomoci</w:t>
      </w:r>
    </w:p>
    <w:p w:rsidR="003C444A" w:rsidRPr="0094295F" w:rsidRDefault="002D7530" w:rsidP="00916298">
      <w:pPr>
        <w:widowControl w:val="0"/>
        <w:spacing w:beforeLines="60" w:before="144"/>
        <w:ind w:left="720"/>
        <w:jc w:val="both"/>
        <w:rPr>
          <w:noProof/>
        </w:rPr>
      </w:pPr>
      <w:r w:rsidRPr="005270F7">
        <w:t>Podnikateľské subjekty a subjekty verejnej správy (obce a ich združenia), ktoré pôsobia v oblastiach, na ktoré sa vzťahuje Os 3</w:t>
      </w:r>
      <w:r w:rsidR="003C444A" w:rsidRPr="005270F7">
        <w:rPr>
          <w:noProof/>
        </w:rPr>
        <w:t>.</w:t>
      </w:r>
      <w:r w:rsidR="003C444A" w:rsidRPr="0094295F">
        <w:rPr>
          <w:noProof/>
        </w:rPr>
        <w:t xml:space="preserve"> </w:t>
      </w:r>
    </w:p>
    <w:p w:rsidR="00A470E9" w:rsidRDefault="00A470E9" w:rsidP="00916298">
      <w:pPr>
        <w:autoSpaceDE w:val="0"/>
        <w:autoSpaceDN w:val="0"/>
        <w:adjustRightInd w:val="0"/>
        <w:ind w:left="720"/>
        <w:jc w:val="both"/>
      </w:pPr>
    </w:p>
    <w:p w:rsidR="00916298" w:rsidRPr="0094295F" w:rsidRDefault="00916298" w:rsidP="00916298">
      <w:pPr>
        <w:numPr>
          <w:ilvl w:val="0"/>
          <w:numId w:val="20"/>
        </w:numPr>
        <w:ind w:left="284" w:hanging="284"/>
        <w:jc w:val="both"/>
        <w:outlineLvl w:val="3"/>
        <w:rPr>
          <w:noProof/>
        </w:rPr>
      </w:pPr>
      <w:r w:rsidRPr="00466C6B">
        <w:rPr>
          <w:b/>
          <w:bCs/>
          <w:color w:val="000000"/>
        </w:rPr>
        <w:t>Druh podpory</w:t>
      </w:r>
      <w:r w:rsidR="00466C6B" w:rsidRPr="00466C6B">
        <w:rPr>
          <w:b/>
          <w:bCs/>
          <w:color w:val="000000"/>
        </w:rPr>
        <w:t xml:space="preserve"> </w:t>
      </w:r>
      <w:r w:rsidR="00466C6B" w:rsidRPr="00466C6B">
        <w:rPr>
          <w:bCs/>
          <w:color w:val="000000"/>
        </w:rPr>
        <w:t xml:space="preserve">- </w:t>
      </w:r>
      <w:r w:rsidRPr="00466C6B">
        <w:rPr>
          <w:noProof/>
        </w:rPr>
        <w:t>nenávratný finančný príspevok</w:t>
      </w:r>
    </w:p>
    <w:p w:rsidR="00466C6B" w:rsidRDefault="00466C6B" w:rsidP="00916298">
      <w:pPr>
        <w:ind w:left="2835" w:hanging="2835"/>
        <w:jc w:val="both"/>
        <w:rPr>
          <w:noProof/>
        </w:rPr>
      </w:pPr>
    </w:p>
    <w:p w:rsidR="00916298" w:rsidRPr="0094295F" w:rsidRDefault="00916298" w:rsidP="00916298">
      <w:pPr>
        <w:ind w:left="2835" w:hanging="2835"/>
        <w:jc w:val="both"/>
        <w:rPr>
          <w:noProof/>
        </w:rPr>
      </w:pPr>
      <w:r w:rsidRPr="0094295F">
        <w:rPr>
          <w:noProof/>
        </w:rPr>
        <w:lastRenderedPageBreak/>
        <w:t>Spôsob financovania:</w:t>
      </w:r>
      <w:r w:rsidRPr="0094295F">
        <w:rPr>
          <w:noProof/>
        </w:rPr>
        <w:tab/>
        <w:t>plné financovanie (platby systémom predfinancovania a/alebo refundácie, pozri Prílohu č. 6 Opatrenia Programu rozvoja vidieka SR 2007 – 2013, koneční prijímatelia a systémy financovania)</w:t>
      </w:r>
    </w:p>
    <w:p w:rsidR="00916298" w:rsidRPr="0094295F" w:rsidRDefault="00916298" w:rsidP="00916298">
      <w:pPr>
        <w:jc w:val="both"/>
        <w:outlineLvl w:val="3"/>
        <w:rPr>
          <w:noProof/>
        </w:rPr>
      </w:pPr>
      <w:r w:rsidRPr="0094295F">
        <w:rPr>
          <w:noProof/>
        </w:rPr>
        <w:t>Typ investície:</w:t>
      </w:r>
      <w:r w:rsidRPr="0094295F">
        <w:rPr>
          <w:noProof/>
        </w:rPr>
        <w:tab/>
      </w:r>
      <w:r w:rsidRPr="0094295F">
        <w:rPr>
          <w:noProof/>
        </w:rPr>
        <w:tab/>
        <w:t>nezisková</w:t>
      </w:r>
    </w:p>
    <w:p w:rsidR="00916298" w:rsidRDefault="00916298" w:rsidP="00916298">
      <w:pPr>
        <w:rPr>
          <w:b/>
          <w:noProof/>
        </w:rPr>
      </w:pPr>
    </w:p>
    <w:p w:rsidR="00916298" w:rsidRDefault="00916298" w:rsidP="00162905">
      <w:pPr>
        <w:numPr>
          <w:ilvl w:val="0"/>
          <w:numId w:val="20"/>
        </w:numPr>
        <w:ind w:left="284" w:hanging="284"/>
        <w:rPr>
          <w:b/>
          <w:noProof/>
        </w:rPr>
      </w:pPr>
      <w:r w:rsidRPr="0094295F">
        <w:rPr>
          <w:b/>
          <w:noProof/>
        </w:rPr>
        <w:t xml:space="preserve">Intenzita pomoci </w:t>
      </w:r>
    </w:p>
    <w:p w:rsidR="00916298" w:rsidRPr="0094295F" w:rsidRDefault="00916298" w:rsidP="00916298">
      <w:pPr>
        <w:rPr>
          <w:b/>
          <w:noProof/>
        </w:rPr>
      </w:pPr>
    </w:p>
    <w:p w:rsidR="00916298" w:rsidRPr="0094295F" w:rsidRDefault="00916298" w:rsidP="00916298">
      <w:pPr>
        <w:jc w:val="both"/>
        <w:rPr>
          <w:noProof/>
        </w:rPr>
      </w:pPr>
      <w:r w:rsidRPr="0094295F">
        <w:rPr>
          <w:noProof/>
        </w:rPr>
        <w:t>Maximálna výška pomoci z celkových oprávnených výdavkov:</w:t>
      </w:r>
    </w:p>
    <w:p w:rsidR="00916298" w:rsidRPr="0094295F" w:rsidRDefault="00916298" w:rsidP="00AD508E">
      <w:pPr>
        <w:ind w:left="1920"/>
        <w:jc w:val="both"/>
        <w:rPr>
          <w:noProof/>
        </w:rPr>
      </w:pPr>
      <w:r w:rsidRPr="0094295F">
        <w:rPr>
          <w:b/>
          <w:noProof/>
        </w:rPr>
        <w:t>100 %</w:t>
      </w:r>
      <w:r w:rsidRPr="0094295F">
        <w:rPr>
          <w:noProof/>
        </w:rPr>
        <w:t xml:space="preserve"> (75 % EÚ a 25 % SR) pre oblasti cieľa Konvergencia;</w:t>
      </w:r>
    </w:p>
    <w:p w:rsidR="00916298" w:rsidRPr="0094295F" w:rsidRDefault="00916298" w:rsidP="00AD508E">
      <w:pPr>
        <w:ind w:left="1920"/>
        <w:jc w:val="both"/>
        <w:rPr>
          <w:noProof/>
        </w:rPr>
      </w:pPr>
      <w:r w:rsidRPr="0094295F">
        <w:rPr>
          <w:b/>
          <w:noProof/>
        </w:rPr>
        <w:t>100 %</w:t>
      </w:r>
      <w:r w:rsidRPr="0094295F">
        <w:rPr>
          <w:noProof/>
        </w:rPr>
        <w:t xml:space="preserve"> (50 % EÚ a 50 % SR) pre Ostatné oblasti.    </w:t>
      </w:r>
    </w:p>
    <w:p w:rsidR="00916298" w:rsidRPr="00C61DD4" w:rsidRDefault="00916298" w:rsidP="00A470E9">
      <w:pPr>
        <w:autoSpaceDE w:val="0"/>
        <w:autoSpaceDN w:val="0"/>
        <w:adjustRightInd w:val="0"/>
        <w:ind w:left="720"/>
        <w:jc w:val="both"/>
      </w:pPr>
    </w:p>
    <w:p w:rsidR="00903A02" w:rsidRPr="005A493F" w:rsidRDefault="00A470E9" w:rsidP="00162905">
      <w:pPr>
        <w:pStyle w:val="Zkladntextb"/>
        <w:numPr>
          <w:ilvl w:val="0"/>
          <w:numId w:val="7"/>
        </w:numPr>
        <w:spacing w:after="120"/>
        <w:ind w:left="284" w:hanging="284"/>
        <w:rPr>
          <w:sz w:val="22"/>
          <w:szCs w:val="22"/>
        </w:rPr>
      </w:pPr>
      <w:r w:rsidRPr="00903A02">
        <w:rPr>
          <w:b/>
          <w:bCs/>
          <w:color w:val="000000"/>
        </w:rPr>
        <w:t xml:space="preserve">Výška oprávnených výdavkov na 1 projekt: min. </w:t>
      </w:r>
      <w:r w:rsidR="003C444A">
        <w:rPr>
          <w:b/>
          <w:bCs/>
          <w:color w:val="000000"/>
        </w:rPr>
        <w:t>3 000</w:t>
      </w:r>
      <w:r w:rsidRPr="00903A02">
        <w:rPr>
          <w:b/>
          <w:bCs/>
          <w:color w:val="000000"/>
        </w:rPr>
        <w:t xml:space="preserve"> EUR a max. </w:t>
      </w:r>
      <w:r w:rsidR="003C444A">
        <w:rPr>
          <w:b/>
          <w:bCs/>
          <w:color w:val="000000"/>
        </w:rPr>
        <w:t>70</w:t>
      </w:r>
      <w:r w:rsidRPr="00903A02">
        <w:rPr>
          <w:b/>
          <w:bCs/>
          <w:color w:val="000000"/>
        </w:rPr>
        <w:t xml:space="preserve"> 000 EUR</w:t>
      </w:r>
      <w:r w:rsidR="00903A02">
        <w:rPr>
          <w:b/>
          <w:bCs/>
          <w:color w:val="000000"/>
        </w:rPr>
        <w:t>.</w:t>
      </w:r>
    </w:p>
    <w:p w:rsidR="005A493F" w:rsidRDefault="005A493F" w:rsidP="005270F7">
      <w:pPr>
        <w:pStyle w:val="Zkladntextb"/>
        <w:ind w:left="284"/>
        <w:rPr>
          <w:sz w:val="22"/>
          <w:szCs w:val="22"/>
        </w:rPr>
      </w:pPr>
    </w:p>
    <w:p w:rsidR="002D4D63" w:rsidRPr="005270F7" w:rsidRDefault="006D5C98" w:rsidP="001629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color w:val="000000"/>
        </w:rPr>
      </w:pPr>
      <w:r w:rsidRPr="005270F7">
        <w:rPr>
          <w:b/>
          <w:bCs/>
          <w:color w:val="000000"/>
        </w:rPr>
        <w:t>Oprávnenosť činností realizácie projektu:</w:t>
      </w:r>
    </w:p>
    <w:p w:rsidR="005A493F" w:rsidRDefault="005A493F" w:rsidP="005A493F">
      <w:pPr>
        <w:rPr>
          <w:b/>
          <w:noProof/>
        </w:rPr>
      </w:pPr>
    </w:p>
    <w:p w:rsidR="005A493F" w:rsidRPr="00C31ADC" w:rsidRDefault="005A493F" w:rsidP="005A493F">
      <w:pPr>
        <w:rPr>
          <w:b/>
        </w:rPr>
      </w:pPr>
      <w:r w:rsidRPr="0094295F">
        <w:rPr>
          <w:b/>
          <w:noProof/>
        </w:rPr>
        <w:t xml:space="preserve">Rozsah a činnosti </w:t>
      </w:r>
      <w:r w:rsidRPr="0094295F">
        <w:rPr>
          <w:noProof/>
        </w:rPr>
        <w:t xml:space="preserve">(vrátane </w:t>
      </w:r>
      <w:r w:rsidRPr="00D36A0E">
        <w:rPr>
          <w:bCs/>
        </w:rPr>
        <w:t>tematického zamerania</w:t>
      </w:r>
      <w:r w:rsidRPr="0094295F">
        <w:rPr>
          <w:noProof/>
        </w:rPr>
        <w:t>)</w:t>
      </w:r>
    </w:p>
    <w:p w:rsidR="005A493F" w:rsidRDefault="005A493F" w:rsidP="005A493F">
      <w:pPr>
        <w:jc w:val="both"/>
        <w:rPr>
          <w:bCs/>
          <w:noProof/>
        </w:rPr>
      </w:pPr>
    </w:p>
    <w:p w:rsidR="005A493F" w:rsidRPr="0094295F" w:rsidRDefault="005A493F" w:rsidP="005A493F">
      <w:pPr>
        <w:jc w:val="both"/>
        <w:rPr>
          <w:bCs/>
          <w:noProof/>
        </w:rPr>
      </w:pPr>
      <w:r w:rsidRPr="0094295F">
        <w:rPr>
          <w:bCs/>
          <w:noProof/>
        </w:rPr>
        <w:t>Podpora je cielená na vzdelávacie projekty zamerané na zís</w:t>
      </w:r>
      <w:r>
        <w:rPr>
          <w:bCs/>
          <w:noProof/>
        </w:rPr>
        <w:t>kavanie, prehlbovanie a inovovanie</w:t>
      </w:r>
      <w:r w:rsidRPr="0094295F">
        <w:rPr>
          <w:bCs/>
          <w:noProof/>
        </w:rPr>
        <w:t xml:space="preserve"> vedomostí a zručností a šírenie informácií o jednotlivých opatreniach </w:t>
      </w:r>
      <w:r w:rsidRPr="00D36A0E">
        <w:rPr>
          <w:bCs/>
          <w:noProof/>
        </w:rPr>
        <w:t xml:space="preserve">osi 3 podľa </w:t>
      </w:r>
      <w:r w:rsidRPr="0094295F">
        <w:rPr>
          <w:bCs/>
          <w:noProof/>
        </w:rPr>
        <w:t xml:space="preserve">EPFRV a cieľoch Spoločnej poľnohospodárskej politiky. Oprávnené sú všetky </w:t>
      </w:r>
      <w:r w:rsidRPr="00750D1D">
        <w:rPr>
          <w:bCs/>
          <w:noProof/>
        </w:rPr>
        <w:t>nasledovné v</w:t>
      </w:r>
      <w:r w:rsidRPr="0094295F">
        <w:rPr>
          <w:bCs/>
          <w:noProof/>
        </w:rPr>
        <w:t xml:space="preserve">zdelávacie a informačné </w:t>
      </w:r>
      <w:r>
        <w:rPr>
          <w:bCs/>
          <w:noProof/>
        </w:rPr>
        <w:t>aktivity, ktoré súvisia s cieľom</w:t>
      </w:r>
      <w:r w:rsidRPr="0094295F">
        <w:rPr>
          <w:bCs/>
          <w:noProof/>
        </w:rPr>
        <w:t xml:space="preserve"> opatreni</w:t>
      </w:r>
      <w:r>
        <w:rPr>
          <w:bCs/>
          <w:noProof/>
        </w:rPr>
        <w:t>a:</w:t>
      </w:r>
    </w:p>
    <w:p w:rsidR="005A493F" w:rsidRDefault="005A493F" w:rsidP="005A493F">
      <w:pPr>
        <w:ind w:left="357" w:hanging="357"/>
        <w:jc w:val="both"/>
        <w:rPr>
          <w:b/>
          <w:bCs/>
          <w:noProof/>
        </w:rPr>
      </w:pPr>
    </w:p>
    <w:p w:rsidR="005A493F" w:rsidRPr="00D36A0E" w:rsidRDefault="005A493F" w:rsidP="005A493F">
      <w:pPr>
        <w:spacing w:after="120"/>
        <w:ind w:left="360" w:hanging="360"/>
        <w:jc w:val="both"/>
        <w:rPr>
          <w:bCs/>
          <w:noProof/>
        </w:rPr>
      </w:pPr>
      <w:r w:rsidRPr="0094295F">
        <w:rPr>
          <w:b/>
          <w:bCs/>
          <w:noProof/>
        </w:rPr>
        <w:t>1.</w:t>
      </w:r>
      <w:r w:rsidRPr="0094295F">
        <w:rPr>
          <w:bCs/>
          <w:noProof/>
        </w:rPr>
        <w:t xml:space="preserve"> </w:t>
      </w:r>
      <w:r w:rsidRPr="0094295F">
        <w:rPr>
          <w:b/>
          <w:bCs/>
          <w:noProof/>
        </w:rPr>
        <w:t>všetky formy ďalšieho vzdelávania</w:t>
      </w:r>
      <w:r w:rsidRPr="0094295F">
        <w:rPr>
          <w:bCs/>
          <w:noProof/>
        </w:rPr>
        <w:t>, ktorý</w:t>
      </w:r>
      <w:r>
        <w:rPr>
          <w:bCs/>
          <w:noProof/>
        </w:rPr>
        <w:t xml:space="preserve">ch zameranie je v súlade s cieľom </w:t>
      </w:r>
      <w:r w:rsidRPr="0094295F">
        <w:rPr>
          <w:bCs/>
          <w:noProof/>
        </w:rPr>
        <w:t>opatrenia a príslušnými právnymi predpismi EÚ a</w:t>
      </w:r>
      <w:r>
        <w:rPr>
          <w:bCs/>
          <w:noProof/>
        </w:rPr>
        <w:t> </w:t>
      </w:r>
      <w:r w:rsidRPr="0094295F">
        <w:rPr>
          <w:bCs/>
          <w:noProof/>
        </w:rPr>
        <w:t>SR</w:t>
      </w:r>
      <w:r w:rsidRPr="00D36A0E">
        <w:rPr>
          <w:bCs/>
          <w:noProof/>
        </w:rPr>
        <w:t>.</w:t>
      </w:r>
    </w:p>
    <w:p w:rsidR="005A493F" w:rsidRPr="0094295F" w:rsidRDefault="005A493F" w:rsidP="005A493F">
      <w:pPr>
        <w:jc w:val="both"/>
        <w:rPr>
          <w:noProof/>
          <w:snapToGrid w:val="0"/>
          <w:lang w:eastAsia="zh-CN"/>
        </w:rPr>
      </w:pPr>
      <w:r w:rsidRPr="00D36A0E">
        <w:rPr>
          <w:noProof/>
          <w:snapToGrid w:val="0"/>
          <w:lang w:eastAsia="zh-CN"/>
        </w:rPr>
        <w:t>Vzdelávacie</w:t>
      </w:r>
      <w:r w:rsidRPr="0094295F">
        <w:rPr>
          <w:noProof/>
          <w:snapToGrid w:val="0"/>
          <w:lang w:eastAsia="zh-CN"/>
        </w:rPr>
        <w:t xml:space="preserve"> aktivity </w:t>
      </w:r>
      <w:r w:rsidRPr="00D36A0E">
        <w:rPr>
          <w:noProof/>
          <w:snapToGrid w:val="0"/>
          <w:lang w:eastAsia="zh-CN"/>
        </w:rPr>
        <w:t>určené pre podnikateľské subjekty a subjekty verejnej správy (obce, mestá a ich združenia a občianske združenia) –</w:t>
      </w:r>
      <w:r w:rsidRPr="0094295F">
        <w:rPr>
          <w:noProof/>
          <w:snapToGrid w:val="0"/>
          <w:lang w:eastAsia="zh-CN"/>
        </w:rPr>
        <w:t xml:space="preserve"> tematicky zamerané </w:t>
      </w:r>
      <w:r w:rsidRPr="00D36A0E">
        <w:rPr>
          <w:noProof/>
          <w:snapToGrid w:val="0"/>
          <w:lang w:eastAsia="zh-CN"/>
        </w:rPr>
        <w:t xml:space="preserve">najmä </w:t>
      </w:r>
      <w:r w:rsidRPr="0094295F">
        <w:rPr>
          <w:noProof/>
          <w:snapToGrid w:val="0"/>
          <w:lang w:eastAsia="zh-CN"/>
        </w:rPr>
        <w:t>na:</w:t>
      </w:r>
    </w:p>
    <w:p w:rsidR="005A493F" w:rsidRPr="00D36A0E" w:rsidRDefault="005A493F" w:rsidP="005A493F">
      <w:pPr>
        <w:numPr>
          <w:ilvl w:val="0"/>
          <w:numId w:val="24"/>
        </w:numPr>
        <w:jc w:val="both"/>
        <w:rPr>
          <w:lang w:eastAsia="zh-CN"/>
        </w:rPr>
      </w:pPr>
      <w:r w:rsidRPr="00D36A0E">
        <w:rPr>
          <w:lang w:eastAsia="zh-CN"/>
        </w:rPr>
        <w:t>ekonomiku podnikateľského subjektu (napr. legislatíva, riadenie ekonomicky životaschopného podniku, podnikateľský plán, diverzifikácia činností, spolupráca a rozvoj podnikov);</w:t>
      </w:r>
    </w:p>
    <w:p w:rsidR="005A493F" w:rsidRPr="00D36A0E" w:rsidRDefault="005A493F" w:rsidP="005A493F">
      <w:pPr>
        <w:numPr>
          <w:ilvl w:val="0"/>
          <w:numId w:val="24"/>
        </w:numPr>
        <w:jc w:val="both"/>
        <w:rPr>
          <w:lang w:eastAsia="zh-CN"/>
        </w:rPr>
      </w:pPr>
      <w:r w:rsidRPr="00D36A0E">
        <w:rPr>
          <w:lang w:eastAsia="zh-CN"/>
        </w:rPr>
        <w:t xml:space="preserve">zavádzanie nových metód a nástrojov práce a riadenia vo vidieckom priestore; </w:t>
      </w:r>
    </w:p>
    <w:p w:rsidR="005A493F" w:rsidRPr="00D36A0E" w:rsidRDefault="005A493F" w:rsidP="005A493F">
      <w:pPr>
        <w:numPr>
          <w:ilvl w:val="0"/>
          <w:numId w:val="24"/>
        </w:numPr>
        <w:jc w:val="both"/>
        <w:rPr>
          <w:lang w:eastAsia="zh-CN"/>
        </w:rPr>
      </w:pPr>
      <w:r w:rsidRPr="00D36A0E">
        <w:rPr>
          <w:lang w:eastAsia="zh-CN"/>
        </w:rPr>
        <w:t>manažment kvality;</w:t>
      </w:r>
    </w:p>
    <w:p w:rsidR="005A493F" w:rsidRPr="00D36A0E" w:rsidRDefault="005A493F" w:rsidP="005A493F">
      <w:pPr>
        <w:numPr>
          <w:ilvl w:val="0"/>
          <w:numId w:val="24"/>
        </w:numPr>
        <w:jc w:val="both"/>
        <w:rPr>
          <w:lang w:eastAsia="zh-CN"/>
        </w:rPr>
      </w:pPr>
      <w:r w:rsidRPr="00D36A0E">
        <w:rPr>
          <w:lang w:eastAsia="zh-CN"/>
        </w:rPr>
        <w:t>inovácie vo vidieckych oblastiach, zavádzanie informačných technológií, internetizácia;</w:t>
      </w:r>
    </w:p>
    <w:p w:rsidR="005A493F" w:rsidRPr="0094295F" w:rsidRDefault="005A493F" w:rsidP="005A493F">
      <w:pPr>
        <w:numPr>
          <w:ilvl w:val="0"/>
          <w:numId w:val="21"/>
        </w:numPr>
        <w:ind w:left="714" w:hanging="357"/>
        <w:jc w:val="both"/>
        <w:rPr>
          <w:noProof/>
          <w:snapToGrid w:val="0"/>
          <w:lang w:eastAsia="zh-CN"/>
        </w:rPr>
      </w:pPr>
      <w:r w:rsidRPr="00D36A0E">
        <w:rPr>
          <w:lang w:eastAsia="zh-CN"/>
        </w:rPr>
        <w:t>ochranu životného prostredia (environmentálne vhodné</w:t>
      </w:r>
      <w:r w:rsidRPr="0094295F">
        <w:rPr>
          <w:noProof/>
          <w:snapToGrid w:val="0"/>
          <w:lang w:eastAsia="zh-CN"/>
        </w:rPr>
        <w:t xml:space="preserve"> technológie</w:t>
      </w:r>
      <w:r w:rsidRPr="00D36A0E">
        <w:rPr>
          <w:lang w:eastAsia="zh-CN"/>
        </w:rPr>
        <w:t xml:space="preserve">, alternatívne zdroje energie, separovaný zber, </w:t>
      </w:r>
      <w:r w:rsidRPr="0094295F">
        <w:rPr>
          <w:noProof/>
          <w:snapToGrid w:val="0"/>
          <w:lang w:eastAsia="zh-CN"/>
        </w:rPr>
        <w:t xml:space="preserve">využívanie </w:t>
      </w:r>
      <w:r w:rsidRPr="00D36A0E">
        <w:rPr>
          <w:lang w:eastAsia="zh-CN"/>
        </w:rPr>
        <w:t>biomasy, ochrana, tvorba a manažment</w:t>
      </w:r>
      <w:r w:rsidRPr="0094295F">
        <w:rPr>
          <w:noProof/>
          <w:snapToGrid w:val="0"/>
          <w:lang w:eastAsia="zh-CN"/>
        </w:rPr>
        <w:t xml:space="preserve"> krajiny</w:t>
      </w:r>
      <w:r w:rsidRPr="00D36A0E">
        <w:rPr>
          <w:lang w:eastAsia="zh-CN"/>
        </w:rPr>
        <w:t>, cieľová kvalita vidieckej krajiny a pod.);</w:t>
      </w:r>
    </w:p>
    <w:p w:rsidR="005A493F" w:rsidRPr="00D36A0E" w:rsidRDefault="005A493F" w:rsidP="005A493F">
      <w:pPr>
        <w:numPr>
          <w:ilvl w:val="0"/>
          <w:numId w:val="24"/>
        </w:numPr>
        <w:jc w:val="both"/>
        <w:rPr>
          <w:lang w:eastAsia="zh-CN"/>
        </w:rPr>
      </w:pPr>
      <w:r w:rsidRPr="00D36A0E">
        <w:rPr>
          <w:lang w:eastAsia="zh-CN"/>
        </w:rPr>
        <w:t>obnovu a rozvoj vidieka;</w:t>
      </w:r>
    </w:p>
    <w:p w:rsidR="005A493F" w:rsidRPr="00D36A0E" w:rsidRDefault="005A493F" w:rsidP="005A493F">
      <w:pPr>
        <w:numPr>
          <w:ilvl w:val="0"/>
          <w:numId w:val="24"/>
        </w:numPr>
        <w:jc w:val="both"/>
        <w:rPr>
          <w:lang w:eastAsia="zh-CN"/>
        </w:rPr>
      </w:pPr>
      <w:r w:rsidRPr="00D36A0E">
        <w:rPr>
          <w:lang w:eastAsia="zh-CN"/>
        </w:rPr>
        <w:t>prístup Leader.</w:t>
      </w:r>
    </w:p>
    <w:p w:rsidR="005A493F" w:rsidRPr="00D36A0E" w:rsidRDefault="005A493F" w:rsidP="005A493F">
      <w:pPr>
        <w:jc w:val="both"/>
        <w:rPr>
          <w:lang w:eastAsia="zh-CN"/>
        </w:rPr>
      </w:pPr>
    </w:p>
    <w:p w:rsidR="005A493F" w:rsidRPr="0094295F" w:rsidRDefault="005A493F" w:rsidP="005A493F">
      <w:pPr>
        <w:ind w:left="181" w:hanging="181"/>
        <w:rPr>
          <w:b/>
          <w:noProof/>
        </w:rPr>
      </w:pPr>
      <w:r w:rsidRPr="0094295F">
        <w:rPr>
          <w:b/>
          <w:noProof/>
        </w:rPr>
        <w:t>2. nasledovné formy informačných aktivít</w:t>
      </w:r>
    </w:p>
    <w:p w:rsidR="005A493F" w:rsidRPr="0094295F" w:rsidRDefault="005A493F" w:rsidP="005A493F">
      <w:pPr>
        <w:numPr>
          <w:ilvl w:val="0"/>
          <w:numId w:val="22"/>
        </w:numPr>
        <w:ind w:left="714" w:hanging="357"/>
        <w:jc w:val="both"/>
        <w:rPr>
          <w:lang w:eastAsia="zh-CN"/>
        </w:rPr>
      </w:pPr>
      <w:r w:rsidRPr="0094295F">
        <w:rPr>
          <w:lang w:eastAsia="zh-CN"/>
        </w:rPr>
        <w:t>tvorba nových vzdelávacích programov;</w:t>
      </w:r>
    </w:p>
    <w:p w:rsidR="005A493F" w:rsidRPr="0094295F" w:rsidRDefault="005A493F" w:rsidP="005A493F">
      <w:pPr>
        <w:numPr>
          <w:ilvl w:val="0"/>
          <w:numId w:val="22"/>
        </w:numPr>
        <w:ind w:left="714" w:hanging="357"/>
        <w:jc w:val="both"/>
        <w:rPr>
          <w:lang w:eastAsia="zh-CN"/>
        </w:rPr>
      </w:pPr>
      <w:r w:rsidRPr="0094295F">
        <w:rPr>
          <w:lang w:eastAsia="zh-CN"/>
        </w:rPr>
        <w:t>tvorba analýz vzdelávacích potrieb;</w:t>
      </w:r>
    </w:p>
    <w:p w:rsidR="005A493F" w:rsidRPr="0094295F" w:rsidRDefault="005A493F" w:rsidP="005A493F">
      <w:pPr>
        <w:numPr>
          <w:ilvl w:val="0"/>
          <w:numId w:val="22"/>
        </w:numPr>
        <w:ind w:left="714" w:hanging="357"/>
        <w:jc w:val="both"/>
        <w:rPr>
          <w:lang w:eastAsia="zh-CN"/>
        </w:rPr>
      </w:pPr>
      <w:r w:rsidRPr="0094295F">
        <w:rPr>
          <w:lang w:eastAsia="zh-CN"/>
        </w:rPr>
        <w:t>krátkodobé kurzy, školenia a tréningy na získanie potrebných vedomostí a zručností;</w:t>
      </w:r>
    </w:p>
    <w:p w:rsidR="005A493F" w:rsidRPr="0094295F" w:rsidRDefault="005A493F" w:rsidP="005A493F">
      <w:pPr>
        <w:numPr>
          <w:ilvl w:val="0"/>
          <w:numId w:val="22"/>
        </w:numPr>
        <w:ind w:left="714" w:hanging="357"/>
        <w:jc w:val="both"/>
        <w:rPr>
          <w:lang w:eastAsia="zh-CN"/>
        </w:rPr>
      </w:pPr>
      <w:r w:rsidRPr="0094295F">
        <w:rPr>
          <w:lang w:eastAsia="zh-CN"/>
        </w:rPr>
        <w:t>konferencie a semináre;</w:t>
      </w:r>
    </w:p>
    <w:p w:rsidR="005A493F" w:rsidRPr="00F763EA" w:rsidRDefault="005A493F" w:rsidP="005A493F">
      <w:pPr>
        <w:numPr>
          <w:ilvl w:val="0"/>
          <w:numId w:val="23"/>
        </w:numPr>
        <w:jc w:val="both"/>
      </w:pPr>
      <w:r w:rsidRPr="0094295F">
        <w:t>televízne a rozhlasové kampane (ako sú propagačné aktivity, besedy, talk shows)</w:t>
      </w:r>
      <w:r w:rsidRPr="00F763EA">
        <w:t>;</w:t>
      </w:r>
    </w:p>
    <w:p w:rsidR="005A493F" w:rsidRPr="0094295F" w:rsidRDefault="005A493F" w:rsidP="005A493F">
      <w:pPr>
        <w:numPr>
          <w:ilvl w:val="0"/>
          <w:numId w:val="23"/>
        </w:numPr>
        <w:jc w:val="both"/>
        <w:rPr>
          <w:lang w:eastAsia="zh-CN"/>
        </w:rPr>
      </w:pPr>
      <w:r w:rsidRPr="0094295F">
        <w:rPr>
          <w:lang w:eastAsia="zh-CN"/>
        </w:rPr>
        <w:t>výmenné informačné stáže a návštevy v tuzemsku a v EÚ;</w:t>
      </w:r>
    </w:p>
    <w:p w:rsidR="005A493F" w:rsidRPr="0094295F" w:rsidRDefault="005A493F" w:rsidP="005A493F">
      <w:pPr>
        <w:numPr>
          <w:ilvl w:val="0"/>
          <w:numId w:val="23"/>
        </w:numPr>
        <w:jc w:val="both"/>
        <w:rPr>
          <w:lang w:eastAsia="zh-CN"/>
        </w:rPr>
      </w:pPr>
      <w:r w:rsidRPr="0094295F">
        <w:rPr>
          <w:lang w:eastAsia="zh-CN"/>
        </w:rPr>
        <w:t>putovné aktivity k cieľovým skupinám;</w:t>
      </w:r>
    </w:p>
    <w:p w:rsidR="005A493F" w:rsidRDefault="005A493F" w:rsidP="005A493F">
      <w:pPr>
        <w:jc w:val="both"/>
        <w:rPr>
          <w:b/>
          <w:lang w:eastAsia="zh-CN"/>
        </w:rPr>
      </w:pPr>
    </w:p>
    <w:p w:rsidR="005A493F" w:rsidRPr="00F763EA" w:rsidRDefault="005A493F" w:rsidP="005A493F">
      <w:pPr>
        <w:jc w:val="both"/>
        <w:rPr>
          <w:b/>
        </w:rPr>
      </w:pPr>
      <w:r w:rsidRPr="00750D1D">
        <w:rPr>
          <w:b/>
          <w:lang w:eastAsia="zh-CN"/>
        </w:rPr>
        <w:t xml:space="preserve">3. </w:t>
      </w:r>
      <w:r w:rsidRPr="00F763EA">
        <w:rPr>
          <w:b/>
        </w:rPr>
        <w:t>ďalšie formy, ako napríklad tlačené publikácie a webové portály, informačný a poradenský servis zameraný na celoživotné vzdelávanie.</w:t>
      </w:r>
    </w:p>
    <w:p w:rsidR="005A493F" w:rsidRDefault="005A493F" w:rsidP="005A493F">
      <w:pPr>
        <w:spacing w:beforeLines="60" w:before="144"/>
        <w:jc w:val="both"/>
        <w:rPr>
          <w:lang w:eastAsia="zh-CN"/>
        </w:rPr>
      </w:pPr>
      <w:r w:rsidRPr="0094295F">
        <w:rPr>
          <w:lang w:eastAsia="zh-CN"/>
        </w:rPr>
        <w:t>Uprednostňujú sa kombinácie uvedených foriem.</w:t>
      </w:r>
    </w:p>
    <w:p w:rsidR="005270F7" w:rsidRPr="0094295F" w:rsidRDefault="005270F7" w:rsidP="005270F7">
      <w:pPr>
        <w:tabs>
          <w:tab w:val="left" w:pos="284"/>
        </w:tabs>
        <w:jc w:val="both"/>
        <w:rPr>
          <w:lang w:eastAsia="zh-CN"/>
        </w:rPr>
      </w:pPr>
    </w:p>
    <w:p w:rsidR="005270F7" w:rsidRDefault="005270F7" w:rsidP="005270F7">
      <w:pPr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3E4356">
        <w:rPr>
          <w:b/>
          <w:bCs/>
          <w:color w:val="000000"/>
        </w:rPr>
        <w:t>Oprávnenosť výdavkov realizácie projektu:</w:t>
      </w:r>
    </w:p>
    <w:p w:rsidR="005270F7" w:rsidRDefault="005270F7" w:rsidP="005270F7">
      <w:pPr>
        <w:autoSpaceDE w:val="0"/>
        <w:autoSpaceDN w:val="0"/>
        <w:adjustRightInd w:val="0"/>
        <w:spacing w:line="280" w:lineRule="exact"/>
        <w:ind w:left="426"/>
        <w:jc w:val="both"/>
        <w:rPr>
          <w:b/>
          <w:bCs/>
          <w:color w:val="000000"/>
        </w:rPr>
      </w:pPr>
    </w:p>
    <w:p w:rsidR="005270F7" w:rsidRPr="00CD3B46" w:rsidRDefault="005270F7" w:rsidP="005270F7">
      <w:pPr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</w:rPr>
      </w:pPr>
      <w:r w:rsidRPr="00CD3B46">
        <w:rPr>
          <w:bCs/>
        </w:rPr>
        <w:t xml:space="preserve">Oprávnené výdavky musia spĺňať všeobecné podmienky oprávnenosti výdavkov, ktoré sú uvedené v časti </w:t>
      </w:r>
      <w:r w:rsidRPr="00CD3B46">
        <w:rPr>
          <w:b/>
          <w:bCs/>
          <w:smallCaps/>
          <w:sz w:val="28"/>
          <w:szCs w:val="28"/>
        </w:rPr>
        <w:t xml:space="preserve">A </w:t>
      </w:r>
      <w:bookmarkStart w:id="1" w:name="_Toc315959387"/>
      <w:bookmarkStart w:id="2" w:name="_Toc316053253"/>
      <w:r w:rsidRPr="00CD3B46">
        <w:rPr>
          <w:b/>
          <w:bCs/>
          <w:smallCaps/>
          <w:sz w:val="28"/>
          <w:szCs w:val="28"/>
        </w:rPr>
        <w:t>Kritéria pre uznateľnosť výdavkov</w:t>
      </w:r>
      <w:bookmarkEnd w:id="1"/>
      <w:r w:rsidRPr="00CD3B46">
        <w:rPr>
          <w:b/>
          <w:bCs/>
          <w:smallCaps/>
          <w:sz w:val="28"/>
          <w:szCs w:val="28"/>
        </w:rPr>
        <w:t xml:space="preserve"> </w:t>
      </w:r>
      <w:bookmarkEnd w:id="2"/>
      <w:r w:rsidRPr="00CD3B46">
        <w:rPr>
          <w:bCs/>
        </w:rPr>
        <w:t>a </w:t>
      </w:r>
      <w:r w:rsidRPr="005270F7">
        <w:rPr>
          <w:bCs/>
        </w:rPr>
        <w:t>časti</w:t>
      </w:r>
      <w:r w:rsidRPr="005270F7">
        <w:rPr>
          <w:b/>
          <w:bCs/>
          <w:smallCaps/>
          <w:sz w:val="28"/>
          <w:szCs w:val="28"/>
        </w:rPr>
        <w:t xml:space="preserve"> </w:t>
      </w:r>
      <w:r w:rsidRPr="005270F7">
        <w:rPr>
          <w:bCs/>
        </w:rPr>
        <w:t>  </w:t>
      </w:r>
      <w:r w:rsidRPr="005270F7">
        <w:rPr>
          <w:b/>
          <w:bCs/>
        </w:rPr>
        <w:t>B</w:t>
      </w:r>
      <w:r w:rsidRPr="005270F7">
        <w:rPr>
          <w:bCs/>
        </w:rPr>
        <w:t xml:space="preserve"> </w:t>
      </w:r>
      <w:r w:rsidRPr="005270F7">
        <w:rPr>
          <w:b/>
          <w:bCs/>
          <w:smallCaps/>
          <w:sz w:val="28"/>
          <w:szCs w:val="28"/>
        </w:rPr>
        <w:t>maximálne finančné limity vybraných oprávnených výdavkov</w:t>
      </w:r>
      <w:r w:rsidRPr="005270F7">
        <w:rPr>
          <w:bCs/>
        </w:rPr>
        <w:t xml:space="preserve">  </w:t>
      </w:r>
      <w:r w:rsidRPr="005270F7">
        <w:t>Príručky pre žiadateľa o poskytnutie nenávratného finančného príspevku z Programu rozvoja vidieka SR 2007 – 2013 pre 3. výzvu na predkladanie žiadostí o nenávratný finančný príspevok na opatrenie 3.3 Vzdelávanie a informovanie (ďalej len „Príručka“),</w:t>
      </w:r>
      <w:r w:rsidRPr="00880066">
        <w:t xml:space="preserve"> ktorá tvorí prílohu tejto výzvy</w:t>
      </w:r>
      <w:r>
        <w:t>.</w:t>
      </w:r>
      <w:r w:rsidRPr="00CD3B46">
        <w:rPr>
          <w:bCs/>
        </w:rPr>
        <w:t xml:space="preserve"> </w:t>
      </w:r>
    </w:p>
    <w:p w:rsidR="002D4D63" w:rsidRDefault="002D4D63" w:rsidP="002D4D63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b/>
          <w:bCs/>
          <w:color w:val="000000"/>
        </w:rPr>
      </w:pPr>
    </w:p>
    <w:p w:rsidR="005A493F" w:rsidRPr="005270F7" w:rsidRDefault="005A493F" w:rsidP="005A493F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color w:val="000000"/>
        </w:rPr>
      </w:pPr>
      <w:r w:rsidRPr="005270F7">
        <w:rPr>
          <w:b/>
          <w:bCs/>
          <w:color w:val="000000"/>
        </w:rPr>
        <w:t>Kritériá pre uznateľnosť výdavkov</w:t>
      </w:r>
    </w:p>
    <w:p w:rsidR="00CC22D1" w:rsidRPr="0094295F" w:rsidRDefault="00CC22D1" w:rsidP="00CC22D1">
      <w:pPr>
        <w:spacing w:beforeLines="60" w:before="144"/>
        <w:jc w:val="both"/>
        <w:rPr>
          <w:noProof/>
        </w:rPr>
      </w:pPr>
      <w:r w:rsidRPr="0094295F">
        <w:rPr>
          <w:noProof/>
        </w:rPr>
        <w:t xml:space="preserve">Podpora sa poskytuje na nasledovné výdavky spojené so zabezpečením a s realizáciou vzdelávacieho a informačného projektu: </w:t>
      </w:r>
    </w:p>
    <w:p w:rsidR="00CC22D1" w:rsidRPr="0094295F" w:rsidRDefault="00CC22D1" w:rsidP="00D357BA">
      <w:pPr>
        <w:jc w:val="both"/>
      </w:pPr>
    </w:p>
    <w:p w:rsidR="00CC22D1" w:rsidRPr="00C92005" w:rsidRDefault="00CC22D1" w:rsidP="0029185F">
      <w:pPr>
        <w:jc w:val="both"/>
        <w:rPr>
          <w:highlight w:val="yellow"/>
        </w:rPr>
      </w:pPr>
      <w:r>
        <w:rPr>
          <w:b/>
          <w:bCs/>
          <w:noProof/>
        </w:rPr>
        <w:t xml:space="preserve">1. </w:t>
      </w:r>
      <w:r w:rsidRPr="00931796">
        <w:rPr>
          <w:b/>
          <w:bCs/>
          <w:noProof/>
        </w:rPr>
        <w:t>Personálne výdavky</w:t>
      </w:r>
      <w:r w:rsidRPr="00931796">
        <w:rPr>
          <w:noProof/>
        </w:rPr>
        <w:t xml:space="preserve"> (mzdy) pre pracovné pozície: </w:t>
      </w:r>
    </w:p>
    <w:p w:rsidR="00CC22D1" w:rsidRPr="0094295F" w:rsidRDefault="00CC22D1" w:rsidP="00CC22D1">
      <w:pPr>
        <w:spacing w:beforeLines="60" w:before="144" w:line="300" w:lineRule="exact"/>
        <w:jc w:val="both"/>
        <w:rPr>
          <w:b/>
        </w:rPr>
      </w:pPr>
      <w:r w:rsidRPr="00931796">
        <w:rPr>
          <w:b/>
        </w:rPr>
        <w:t>Projektový manažér, Finančný manažér, Koordinátor odbornej aktivity (garant), Lektor, Autor študijných a propagačných materiálov, Prekladateľ, Tlmočník, Oponent,  Administratívny pracovník, Asistent, Kvalifikované podporné činnosti - účtovníctvo projektu, programovanie web</w:t>
      </w:r>
      <w:r>
        <w:rPr>
          <w:b/>
        </w:rPr>
        <w:t xml:space="preserve">ových </w:t>
      </w:r>
      <w:r w:rsidRPr="00931796">
        <w:rPr>
          <w:b/>
        </w:rPr>
        <w:t>stránok, portálov a údržba informačných systémov, pri dodržaní nasledovných podmienok:</w:t>
      </w:r>
    </w:p>
    <w:p w:rsidR="00CC22D1" w:rsidRPr="0094295F" w:rsidRDefault="00CC22D1" w:rsidP="00D357BA">
      <w:pPr>
        <w:spacing w:line="300" w:lineRule="exact"/>
        <w:ind w:left="357"/>
        <w:jc w:val="both"/>
        <w:rPr>
          <w:b/>
        </w:rPr>
      </w:pPr>
    </w:p>
    <w:p w:rsidR="00CC22D1" w:rsidRPr="0094295F" w:rsidRDefault="00CC22D1" w:rsidP="00162905">
      <w:pPr>
        <w:pStyle w:val="Odsekzoznamu"/>
        <w:numPr>
          <w:ilvl w:val="0"/>
          <w:numId w:val="11"/>
        </w:numPr>
        <w:spacing w:after="0" w:line="300" w:lineRule="exact"/>
        <w:ind w:left="357" w:hanging="357"/>
        <w:jc w:val="both"/>
        <w:rPr>
          <w:noProof/>
          <w:szCs w:val="24"/>
          <w:lang w:eastAsia="sk-SK"/>
        </w:rPr>
      </w:pPr>
      <w:r w:rsidRPr="0094295F">
        <w:rPr>
          <w:noProof/>
          <w:szCs w:val="24"/>
          <w:lang w:eastAsia="sk-SK"/>
        </w:rPr>
        <w:t xml:space="preserve">Pracovnoprávny vzťah </w:t>
      </w:r>
      <w:r w:rsidRPr="00931796">
        <w:rPr>
          <w:noProof/>
          <w:szCs w:val="24"/>
          <w:lang w:eastAsia="sk-SK"/>
        </w:rPr>
        <w:t>– je vzťah</w:t>
      </w:r>
      <w:r>
        <w:rPr>
          <w:noProof/>
          <w:szCs w:val="24"/>
          <w:lang w:eastAsia="sk-SK"/>
        </w:rPr>
        <w:t xml:space="preserve"> </w:t>
      </w:r>
      <w:r w:rsidRPr="0094295F">
        <w:rPr>
          <w:noProof/>
          <w:szCs w:val="24"/>
          <w:lang w:eastAsia="sk-SK"/>
        </w:rPr>
        <w:t xml:space="preserve">na základe zákonníka práce alebo obdobnej pracovnoprávnej normy (napr. zákon o štátnej službe). V prípade, ak </w:t>
      </w:r>
      <w:r w:rsidRPr="00931796">
        <w:rPr>
          <w:noProof/>
          <w:szCs w:val="24"/>
          <w:lang w:eastAsia="sk-SK"/>
        </w:rPr>
        <w:t>výkony v určitých</w:t>
      </w:r>
      <w:r w:rsidRPr="0094295F">
        <w:rPr>
          <w:noProof/>
          <w:szCs w:val="24"/>
          <w:lang w:eastAsia="sk-SK"/>
        </w:rPr>
        <w:t xml:space="preserve"> </w:t>
      </w:r>
      <w:r w:rsidRPr="00931796">
        <w:rPr>
          <w:noProof/>
          <w:szCs w:val="24"/>
          <w:lang w:eastAsia="sk-SK"/>
        </w:rPr>
        <w:t>pracovných pozíci</w:t>
      </w:r>
      <w:r>
        <w:rPr>
          <w:noProof/>
          <w:szCs w:val="24"/>
          <w:lang w:eastAsia="sk-SK"/>
        </w:rPr>
        <w:t xml:space="preserve">ach, ktoré </w:t>
      </w:r>
      <w:r w:rsidRPr="0094295F">
        <w:rPr>
          <w:noProof/>
          <w:szCs w:val="24"/>
          <w:lang w:eastAsia="sk-SK"/>
        </w:rPr>
        <w:t xml:space="preserve">prekračujú limit uvedený ako maximálny, konečný prijímateľ finančnej pomoci môže uviesť vyššiu hodinovú sadzbu, pričom jednoznačne preukáže zvýšenú hodinovú sadzbu, ktorú uvádza v projekte pre uvedené pracovné pozície. Ak konečný prijímateľ finančnej pomoci nepreukáže zvýšenú hodinovú sadzbu, hodinová sadzba bude upravená smerom nadol v súlade s max. limitmi (V prípade zamestnancov pracujúcich  </w:t>
      </w:r>
      <w:r w:rsidRPr="00931796">
        <w:rPr>
          <w:noProof/>
          <w:szCs w:val="24"/>
          <w:lang w:eastAsia="sk-SK"/>
        </w:rPr>
        <w:t>na 100</w:t>
      </w:r>
      <w:r w:rsidRPr="0094295F">
        <w:rPr>
          <w:noProof/>
          <w:szCs w:val="24"/>
          <w:lang w:eastAsia="sk-SK"/>
        </w:rPr>
        <w:t xml:space="preserve">% na projekte, výdavky spojené so stravovaním - príspevok zo sociálneho fondu (čerpanie) a príspevok za zamestnávateľa na stravovanie sú pokladané za oprávnené. Ak pracovný výkon zamestnanca na projekte nie </w:t>
      </w:r>
      <w:r w:rsidRPr="00931796">
        <w:rPr>
          <w:noProof/>
          <w:szCs w:val="24"/>
          <w:lang w:eastAsia="sk-SK"/>
        </w:rPr>
        <w:t>je na</w:t>
      </w:r>
      <w:r>
        <w:rPr>
          <w:noProof/>
          <w:szCs w:val="24"/>
          <w:lang w:eastAsia="sk-SK"/>
        </w:rPr>
        <w:t xml:space="preserve"> </w:t>
      </w:r>
      <w:r w:rsidRPr="0094295F">
        <w:rPr>
          <w:noProof/>
          <w:szCs w:val="24"/>
          <w:lang w:eastAsia="sk-SK"/>
        </w:rPr>
        <w:t xml:space="preserve">100%, konečný prijímateľ finančnej pomoci stanoví počet hodín, ktoré sú určené na príslušný projekt (celkový fond pracovného času sa pomerne rozdelí). Dovolenka, PN a ďalšie obligatórne náhrady vyplývajúce z platnej legislatívy sú oprávnené, iba ak zamestnanec pracuje </w:t>
      </w:r>
      <w:r w:rsidRPr="00931796">
        <w:rPr>
          <w:noProof/>
          <w:szCs w:val="24"/>
          <w:lang w:eastAsia="sk-SK"/>
        </w:rPr>
        <w:t>na 100</w:t>
      </w:r>
      <w:r w:rsidRPr="0094295F">
        <w:rPr>
          <w:noProof/>
          <w:szCs w:val="24"/>
          <w:lang w:eastAsia="sk-SK"/>
        </w:rPr>
        <w:t xml:space="preserve">% na projekte. Dovolenka je oprávnená podľa odpracovaného času na projekte. Ak zamestnanec má nárok na dovolenku na základe už odpracovaného času z minulých období mimo výkonu práce na projekte, čerpanie dovolenky je neoprávneným výdavkom. </w:t>
      </w:r>
    </w:p>
    <w:p w:rsidR="00CC22D1" w:rsidRPr="0094295F" w:rsidRDefault="00CC22D1" w:rsidP="00CC22D1">
      <w:pPr>
        <w:pStyle w:val="Odsekzoznamu"/>
        <w:spacing w:beforeLines="60" w:before="144" w:after="0" w:line="300" w:lineRule="exact"/>
        <w:ind w:left="360"/>
        <w:jc w:val="both"/>
        <w:rPr>
          <w:noProof/>
          <w:szCs w:val="24"/>
          <w:lang w:eastAsia="sk-SK"/>
        </w:rPr>
      </w:pPr>
    </w:p>
    <w:p w:rsidR="00CC22D1" w:rsidRPr="0094295F" w:rsidRDefault="00CC22D1" w:rsidP="00162905">
      <w:pPr>
        <w:pStyle w:val="Odsekzoznamu"/>
        <w:numPr>
          <w:ilvl w:val="0"/>
          <w:numId w:val="11"/>
        </w:numPr>
        <w:spacing w:beforeLines="60" w:before="144" w:after="0" w:line="300" w:lineRule="exact"/>
        <w:jc w:val="both"/>
        <w:rPr>
          <w:noProof/>
          <w:szCs w:val="24"/>
          <w:lang w:eastAsia="sk-SK"/>
        </w:rPr>
      </w:pPr>
      <w:r w:rsidRPr="0094295F">
        <w:rPr>
          <w:noProof/>
          <w:szCs w:val="24"/>
          <w:lang w:eastAsia="sk-SK"/>
        </w:rPr>
        <w:t xml:space="preserve">Dohody o prácach vykonávaných mimo pracovného pomeru </w:t>
      </w:r>
      <w:r w:rsidRPr="00931796">
        <w:rPr>
          <w:noProof/>
          <w:szCs w:val="24"/>
          <w:lang w:eastAsia="sk-SK"/>
        </w:rPr>
        <w:t xml:space="preserve">sú neprípustné v prípade, ak </w:t>
      </w:r>
      <w:r w:rsidRPr="00E167D5">
        <w:rPr>
          <w:noProof/>
          <w:szCs w:val="24"/>
          <w:lang w:eastAsia="sk-SK"/>
        </w:rPr>
        <w:t>by</w:t>
      </w:r>
      <w:r>
        <w:rPr>
          <w:noProof/>
          <w:szCs w:val="24"/>
          <w:lang w:eastAsia="sk-SK"/>
        </w:rPr>
        <w:t xml:space="preserve"> </w:t>
      </w:r>
      <w:r w:rsidRPr="0094295F">
        <w:rPr>
          <w:noProof/>
          <w:szCs w:val="24"/>
          <w:lang w:eastAsia="sk-SK"/>
        </w:rPr>
        <w:t xml:space="preserve">zamestnanec, ktorý má uzatvorený pracovný pomer s konečným prijímateľom finančnej pomoci </w:t>
      </w:r>
      <w:r w:rsidRPr="00E167D5">
        <w:rPr>
          <w:noProof/>
          <w:szCs w:val="24"/>
          <w:lang w:eastAsia="sk-SK"/>
        </w:rPr>
        <w:t>vykonával</w:t>
      </w:r>
      <w:r w:rsidRPr="0094295F">
        <w:rPr>
          <w:noProof/>
          <w:szCs w:val="24"/>
          <w:lang w:eastAsia="sk-SK"/>
        </w:rPr>
        <w:t xml:space="preserve"> u tohto konečného prijímateľa finančnej pomoci práce súvisiace s administráciou a koordináciou projektu na základe pracovno-právnych vzťahov mimo pracovného pomeru. Takto vzniknuté výdavky budú považované za neoprávnené.</w:t>
      </w:r>
    </w:p>
    <w:p w:rsidR="00CC22D1" w:rsidRPr="0094295F" w:rsidRDefault="00CC22D1" w:rsidP="00CC22D1">
      <w:pPr>
        <w:pStyle w:val="Odsekzoznamu"/>
        <w:spacing w:beforeLines="60" w:before="144" w:after="0"/>
        <w:rPr>
          <w:noProof/>
          <w:szCs w:val="24"/>
          <w:lang w:eastAsia="sk-SK"/>
        </w:rPr>
      </w:pPr>
    </w:p>
    <w:p w:rsidR="00CC22D1" w:rsidRPr="0094295F" w:rsidRDefault="00CC22D1" w:rsidP="00162905">
      <w:pPr>
        <w:pStyle w:val="Odsekzoznamu"/>
        <w:numPr>
          <w:ilvl w:val="0"/>
          <w:numId w:val="11"/>
        </w:numPr>
        <w:spacing w:beforeLines="60" w:before="144" w:after="0" w:line="300" w:lineRule="exact"/>
        <w:jc w:val="both"/>
        <w:rPr>
          <w:noProof/>
          <w:szCs w:val="24"/>
          <w:lang w:eastAsia="sk-SK"/>
        </w:rPr>
      </w:pPr>
      <w:r w:rsidRPr="00931796">
        <w:rPr>
          <w:noProof/>
          <w:szCs w:val="24"/>
          <w:lang w:eastAsia="sk-SK"/>
        </w:rPr>
        <w:t>Zmluvy uzatvorené podľa Obchodného zákonníka, občianskeho zákonníka, autorského zákon</w:t>
      </w:r>
      <w:r w:rsidRPr="00E167D5">
        <w:rPr>
          <w:noProof/>
          <w:szCs w:val="24"/>
          <w:lang w:eastAsia="sk-SK"/>
        </w:rPr>
        <w:t>a alebo iného všeobecne záväzného právneho predpisu (t.j. zmluvné vzťahy mimo pracovnoprávnych vzťahov)</w:t>
      </w:r>
      <w:r w:rsidRPr="0094295F">
        <w:rPr>
          <w:noProof/>
          <w:szCs w:val="24"/>
          <w:lang w:eastAsia="sk-SK"/>
        </w:rPr>
        <w:t xml:space="preserve"> podliehajú zákonu 25/2006 Z.z. o verejnom obstarávaní a o zmene a doplnení niektorých zákonov v znení neskorších predpisov.</w:t>
      </w:r>
    </w:p>
    <w:p w:rsidR="0029185F" w:rsidRDefault="0029185F" w:rsidP="0029185F">
      <w:pPr>
        <w:tabs>
          <w:tab w:val="left" w:pos="360"/>
        </w:tabs>
        <w:spacing w:line="300" w:lineRule="exact"/>
        <w:jc w:val="both"/>
      </w:pPr>
    </w:p>
    <w:p w:rsidR="00CC22D1" w:rsidRPr="0094295F" w:rsidRDefault="00CC22D1" w:rsidP="0029185F">
      <w:pPr>
        <w:tabs>
          <w:tab w:val="left" w:pos="360"/>
        </w:tabs>
        <w:spacing w:line="300" w:lineRule="exact"/>
        <w:jc w:val="both"/>
      </w:pPr>
      <w:r w:rsidRPr="0094295F">
        <w:t xml:space="preserve">Príprava na lektorovanie je neoprávnenou aktivitou z pohľadu oprávnenosti výdavkov, t.j. oprávnené výdavky sa posudzujú iba vo vzťahu </w:t>
      </w:r>
      <w:r>
        <w:t xml:space="preserve">k </w:t>
      </w:r>
      <w:r w:rsidRPr="0094295F">
        <w:t>samotnému výkonu lektorovania, resp. prednášania (lektorovi bude preplatený iba odprednášaný čas bez prípravy na lektorovanie a iných podporných a sprievodných aktivít).</w:t>
      </w:r>
    </w:p>
    <w:p w:rsidR="0029185F" w:rsidRDefault="0029185F" w:rsidP="0029185F">
      <w:pPr>
        <w:jc w:val="both"/>
      </w:pPr>
    </w:p>
    <w:p w:rsidR="00CC22D1" w:rsidRPr="0094295F" w:rsidRDefault="00CC22D1" w:rsidP="0029185F">
      <w:pPr>
        <w:jc w:val="both"/>
      </w:pPr>
      <w:r w:rsidRPr="0094295F">
        <w:t xml:space="preserve">Hodinová </w:t>
      </w:r>
      <w:r w:rsidRPr="00931796">
        <w:t>sadz</w:t>
      </w:r>
      <w:r w:rsidRPr="00E167D5">
        <w:t>ba je sadzba za 60 minút. Ak činnosť</w:t>
      </w:r>
      <w:r w:rsidRPr="0094295F">
        <w:t xml:space="preserve"> trvá kratšie ako 60 minút, alikvotne sa k tomu prepočíta hodinová sadzba (napr. ak prednáška trvá 45 minút, tak zamestnancovi bude preplatené 45/60*hodinová sadzba.)</w:t>
      </w:r>
    </w:p>
    <w:p w:rsidR="0029185F" w:rsidRDefault="0029185F" w:rsidP="0029185F">
      <w:pPr>
        <w:tabs>
          <w:tab w:val="left" w:pos="360"/>
        </w:tabs>
        <w:spacing w:line="300" w:lineRule="exact"/>
        <w:jc w:val="both"/>
      </w:pPr>
    </w:p>
    <w:p w:rsidR="00CC22D1" w:rsidRPr="0094295F" w:rsidRDefault="00CC22D1" w:rsidP="0029185F">
      <w:pPr>
        <w:tabs>
          <w:tab w:val="left" w:pos="360"/>
        </w:tabs>
        <w:spacing w:line="300" w:lineRule="exact"/>
        <w:jc w:val="both"/>
      </w:pPr>
      <w:r w:rsidRPr="0094295F">
        <w:t xml:space="preserve">Uvedené sumy musia zahŕňať príspevky organizácie do zdravotných a sociálnych poisťovní, ale nesmú zahŕňať žiadne prémie, odmeny alebo podiely na zisku. </w:t>
      </w:r>
      <w:r w:rsidRPr="0094295F">
        <w:rPr>
          <w:b/>
        </w:rPr>
        <w:t>Všetky personálne výdavky musia byť podložené pracovnými výkazmi s rozpismi vykonanej práce na aktuálnych tlačivách v čase vykonania danej aktivity</w:t>
      </w:r>
      <w:r w:rsidRPr="0094295F">
        <w:t xml:space="preserve"> zverejnených na webovom sídle </w:t>
      </w:r>
      <w:hyperlink r:id="rId9" w:history="1">
        <w:r w:rsidRPr="0094295F">
          <w:rPr>
            <w:u w:val="single"/>
          </w:rPr>
          <w:t>http://www.apa.sk/</w:t>
        </w:r>
      </w:hyperlink>
      <w:r w:rsidRPr="0094295F">
        <w:t xml:space="preserve">. Uvedené sa týka všetkých osôb, ktoré sú súčasťou jednotlivých projektov, t. j. pracovníkov konečného prijímateľa finančnej pomoci pracujúcich na základe pracovnej zmluvy, dohôd mimo pracovného pomeru alebo iných pracovnoprávnych vzťahov a taktiež </w:t>
      </w:r>
      <w:r w:rsidRPr="0094295F">
        <w:rPr>
          <w:bCs/>
        </w:rPr>
        <w:t>zmluvných vzťahov mimo pracovnoprávnych vzťahov (dodávka služieb – personálne výdavky)</w:t>
      </w:r>
      <w:r>
        <w:rPr>
          <w:bCs/>
        </w:rPr>
        <w:t>.</w:t>
      </w:r>
    </w:p>
    <w:p w:rsidR="00CC22D1" w:rsidRPr="00E167D5" w:rsidRDefault="00CC22D1" w:rsidP="00D357BA">
      <w:pPr>
        <w:tabs>
          <w:tab w:val="left" w:pos="426"/>
        </w:tabs>
        <w:spacing w:line="300" w:lineRule="exact"/>
        <w:ind w:left="425"/>
        <w:jc w:val="both"/>
      </w:pPr>
    </w:p>
    <w:p w:rsidR="00CC22D1" w:rsidRPr="0029185F" w:rsidRDefault="00CC22D1" w:rsidP="00162905">
      <w:pPr>
        <w:pStyle w:val="Odsekzoznamu"/>
        <w:numPr>
          <w:ilvl w:val="0"/>
          <w:numId w:val="16"/>
        </w:numPr>
        <w:tabs>
          <w:tab w:val="left" w:pos="426"/>
        </w:tabs>
        <w:spacing w:after="0" w:line="276" w:lineRule="auto"/>
        <w:ind w:left="425" w:hanging="425"/>
        <w:jc w:val="both"/>
        <w:rPr>
          <w:b/>
        </w:rPr>
      </w:pPr>
      <w:r w:rsidRPr="00E167D5">
        <w:rPr>
          <w:b/>
          <w:bCs/>
          <w:noProof/>
          <w:szCs w:val="24"/>
          <w:lang w:eastAsia="sk-SK"/>
        </w:rPr>
        <w:t>Cestovné, stravné, ubytovanie</w:t>
      </w:r>
    </w:p>
    <w:p w:rsidR="0029185F" w:rsidRPr="00C92005" w:rsidRDefault="0029185F" w:rsidP="0029185F">
      <w:pPr>
        <w:pStyle w:val="Odsekzoznamu"/>
        <w:tabs>
          <w:tab w:val="left" w:pos="426"/>
        </w:tabs>
        <w:spacing w:after="0" w:line="276" w:lineRule="auto"/>
        <w:ind w:left="425"/>
        <w:jc w:val="both"/>
        <w:rPr>
          <w:b/>
        </w:rPr>
      </w:pPr>
    </w:p>
    <w:p w:rsidR="00CC22D1" w:rsidRPr="0094295F" w:rsidRDefault="00CC22D1" w:rsidP="00162905">
      <w:pPr>
        <w:pStyle w:val="Odsekzoznamu"/>
        <w:numPr>
          <w:ilvl w:val="0"/>
          <w:numId w:val="13"/>
        </w:numPr>
        <w:tabs>
          <w:tab w:val="left" w:pos="360"/>
        </w:tabs>
        <w:spacing w:beforeLines="60" w:before="144" w:after="0" w:line="300" w:lineRule="exact"/>
        <w:jc w:val="both"/>
        <w:rPr>
          <w:szCs w:val="24"/>
          <w:lang w:eastAsia="sk-SK"/>
        </w:rPr>
      </w:pPr>
      <w:r w:rsidRPr="0094295F">
        <w:rPr>
          <w:b/>
          <w:szCs w:val="24"/>
          <w:lang w:eastAsia="sk-SK"/>
        </w:rPr>
        <w:t>Cestovné náhrady</w:t>
      </w:r>
      <w:r w:rsidRPr="0094295F">
        <w:rPr>
          <w:szCs w:val="24"/>
          <w:lang w:eastAsia="sk-SK"/>
        </w:rPr>
        <w:t xml:space="preserve"> pre zamestnancov organizátora</w:t>
      </w:r>
      <w:r w:rsidRPr="0094295F">
        <w:rPr>
          <w:szCs w:val="24"/>
        </w:rPr>
        <w:t xml:space="preserve"> (p</w:t>
      </w:r>
      <w:r w:rsidRPr="0094295F">
        <w:rPr>
          <w:szCs w:val="24"/>
          <w:lang w:eastAsia="sk-SK"/>
        </w:rPr>
        <w:t xml:space="preserve">racovný pomer, dohody o prácach vykonávaných mimo pracovného pomeru). </w:t>
      </w:r>
    </w:p>
    <w:p w:rsidR="00CC22D1" w:rsidRPr="0094295F" w:rsidRDefault="00CC22D1" w:rsidP="00CC22D1">
      <w:pPr>
        <w:pStyle w:val="Odsekzoznamu"/>
        <w:tabs>
          <w:tab w:val="left" w:pos="360"/>
        </w:tabs>
        <w:spacing w:beforeLines="60" w:before="144" w:after="0" w:line="300" w:lineRule="exact"/>
        <w:ind w:left="360"/>
        <w:jc w:val="both"/>
        <w:rPr>
          <w:szCs w:val="24"/>
          <w:lang w:eastAsia="sk-SK"/>
        </w:rPr>
      </w:pPr>
      <w:r w:rsidRPr="0094295F">
        <w:rPr>
          <w:szCs w:val="24"/>
          <w:lang w:eastAsia="sk-SK"/>
        </w:rPr>
        <w:t xml:space="preserve">Výdavky na cestovné, stravné, telekomunikačné poplatky alebo iné náhrady u externých pracovníkov realizované formou </w:t>
      </w:r>
      <w:r w:rsidRPr="0094295F">
        <w:rPr>
          <w:b/>
          <w:szCs w:val="24"/>
          <w:lang w:eastAsia="sk-SK"/>
        </w:rPr>
        <w:t>z</w:t>
      </w:r>
      <w:r w:rsidRPr="0094295F">
        <w:rPr>
          <w:b/>
          <w:bCs/>
          <w:szCs w:val="24"/>
          <w:lang w:eastAsia="sk-SK"/>
        </w:rPr>
        <w:t>mluvných vzťahov mimo pracovnoprávnych vzťahov (dodávka služieb – personálne výdavky)</w:t>
      </w:r>
      <w:r w:rsidRPr="0094295F">
        <w:rPr>
          <w:szCs w:val="24"/>
          <w:lang w:eastAsia="sk-SK"/>
        </w:rPr>
        <w:t xml:space="preserve"> sú neoprávnené výdavky. </w:t>
      </w:r>
    </w:p>
    <w:p w:rsidR="00CC22D1" w:rsidRPr="0094295F" w:rsidRDefault="00CC22D1" w:rsidP="00CC22D1">
      <w:pPr>
        <w:pStyle w:val="Odsekzoznamu"/>
        <w:tabs>
          <w:tab w:val="left" w:pos="360"/>
        </w:tabs>
        <w:spacing w:beforeLines="60" w:before="144" w:after="0" w:line="300" w:lineRule="exact"/>
        <w:ind w:left="360"/>
        <w:jc w:val="both"/>
        <w:rPr>
          <w:szCs w:val="24"/>
          <w:lang w:eastAsia="sk-SK"/>
        </w:rPr>
      </w:pPr>
      <w:r w:rsidRPr="0094295F">
        <w:rPr>
          <w:szCs w:val="24"/>
          <w:lang w:eastAsia="sk-SK"/>
        </w:rPr>
        <w:t xml:space="preserve">Preplatenie týchto výdavkov možno v rámci projektu uplatniť pri cestách zamestnancov organizátora z miesta pravidelného pracoviska alebo bydliska na miesto konania vzdelávacieho projektu a späť. </w:t>
      </w:r>
    </w:p>
    <w:p w:rsidR="00CC22D1" w:rsidRPr="0094295F" w:rsidRDefault="00CC22D1" w:rsidP="00CC22D1">
      <w:pPr>
        <w:pStyle w:val="Odsekzoznamu"/>
        <w:tabs>
          <w:tab w:val="left" w:pos="360"/>
        </w:tabs>
        <w:spacing w:beforeLines="60" w:before="144" w:after="0" w:line="300" w:lineRule="exact"/>
        <w:ind w:left="360"/>
        <w:jc w:val="both"/>
        <w:rPr>
          <w:szCs w:val="24"/>
          <w:lang w:eastAsia="sk-SK"/>
        </w:rPr>
      </w:pPr>
      <w:r w:rsidRPr="0094295F">
        <w:rPr>
          <w:szCs w:val="24"/>
          <w:lang w:eastAsia="sk-SK"/>
        </w:rPr>
        <w:t xml:space="preserve">Akékoľvek cesty mimo miest konania vzdelávacieho projektu musia byť zdôvodnené ako cesty, ktoré súvisia so zabezpečením a realizáciou projektu. </w:t>
      </w:r>
    </w:p>
    <w:p w:rsidR="00CC22D1" w:rsidRPr="0094295F" w:rsidRDefault="00CC22D1" w:rsidP="00CC22D1">
      <w:pPr>
        <w:pStyle w:val="Odsekzoznamu"/>
        <w:tabs>
          <w:tab w:val="left" w:pos="360"/>
        </w:tabs>
        <w:spacing w:beforeLines="60" w:before="144" w:after="0" w:line="300" w:lineRule="exact"/>
        <w:ind w:left="360"/>
        <w:jc w:val="both"/>
        <w:rPr>
          <w:szCs w:val="24"/>
          <w:lang w:eastAsia="sk-SK"/>
        </w:rPr>
      </w:pPr>
      <w:r w:rsidRPr="0094295F">
        <w:rPr>
          <w:szCs w:val="24"/>
          <w:lang w:eastAsia="sk-SK"/>
        </w:rPr>
        <w:t xml:space="preserve">Za oprávnené cestovné výdavky sa považujú reálne cestovné výdavky doložené platným cestovným lístkom za leteckú, železničnú, autobusovú dopravu a mestskú hromadnú dopravu. </w:t>
      </w:r>
    </w:p>
    <w:p w:rsidR="00CC22D1" w:rsidRPr="0094295F" w:rsidRDefault="00CC22D1" w:rsidP="00CC22D1">
      <w:pPr>
        <w:pStyle w:val="Odsekzoznamu"/>
        <w:tabs>
          <w:tab w:val="left" w:pos="360"/>
        </w:tabs>
        <w:spacing w:beforeLines="60" w:before="144" w:after="0" w:line="300" w:lineRule="exact"/>
        <w:ind w:left="360"/>
        <w:jc w:val="both"/>
        <w:rPr>
          <w:szCs w:val="24"/>
          <w:lang w:eastAsia="sk-SK"/>
        </w:rPr>
      </w:pPr>
      <w:r w:rsidRPr="0094295F">
        <w:rPr>
          <w:szCs w:val="24"/>
          <w:lang w:eastAsia="sk-SK"/>
        </w:rPr>
        <w:t>Pri použití motorového vozidla organizácie konečného prijímateľa finančnej pomoci je potrebné cestovné výdavky dokladovať formou správne vyplneného cestovného príkazu, technickým preukazom použitého dopravného prostriedku a smernicou konečného prijímateľa finančnej pomoci ohľadom používania vozidla organizácie.</w:t>
      </w:r>
    </w:p>
    <w:p w:rsidR="00CC22D1" w:rsidRPr="0094295F" w:rsidRDefault="00CC22D1" w:rsidP="00CC22D1">
      <w:pPr>
        <w:pStyle w:val="Odsekzoznamu"/>
        <w:tabs>
          <w:tab w:val="left" w:pos="360"/>
        </w:tabs>
        <w:spacing w:beforeLines="60" w:before="144" w:after="0" w:line="300" w:lineRule="exact"/>
        <w:ind w:left="360"/>
        <w:jc w:val="both"/>
        <w:rPr>
          <w:szCs w:val="24"/>
          <w:lang w:eastAsia="sk-SK"/>
        </w:rPr>
      </w:pPr>
      <w:r w:rsidRPr="0094295F">
        <w:rPr>
          <w:szCs w:val="24"/>
          <w:lang w:eastAsia="sk-SK"/>
        </w:rPr>
        <w:t>Pri použití súkromného motorového vozidla je potrebné cestovné výdavky dokladovať v zmysle interných predpisov konečného prijímateľa finančnej pomoci s prílohami správne vyplneného cestovného príkazu, technickým preukazom použitého dopravného prostriedku, smernicou konečného prijímateľa finančnej pomoci o možnosti použitia súkromného vozidla na služobné účely, dohodou konečného prijímateľa finančnej pomoci so zamestnancom ohľadom použitia súkromného vozidla.</w:t>
      </w:r>
    </w:p>
    <w:p w:rsidR="00CC22D1" w:rsidRPr="0094295F" w:rsidRDefault="00CC22D1" w:rsidP="00CC22D1">
      <w:pPr>
        <w:pStyle w:val="Odsekzoznamu"/>
        <w:tabs>
          <w:tab w:val="left" w:pos="360"/>
        </w:tabs>
        <w:spacing w:beforeLines="60" w:before="144" w:after="0" w:line="300" w:lineRule="exact"/>
        <w:ind w:left="360"/>
        <w:jc w:val="both"/>
        <w:rPr>
          <w:szCs w:val="24"/>
          <w:lang w:eastAsia="sk-SK"/>
        </w:rPr>
      </w:pPr>
      <w:r w:rsidRPr="0094295F">
        <w:rPr>
          <w:szCs w:val="24"/>
          <w:lang w:eastAsia="sk-SK"/>
        </w:rPr>
        <w:t xml:space="preserve">V tejto časti je možné zahrnúť aj zahraničné pracovné cesty v zmysle zákona č. 283/2002 Z. z. o cestovných náhradách v znení neskorších predpisov (v prípade leteckej prepravy sa cena letenky preplatí v ekonomickej triede). </w:t>
      </w:r>
    </w:p>
    <w:p w:rsidR="0029185F" w:rsidRDefault="0029185F" w:rsidP="0029185F">
      <w:pPr>
        <w:tabs>
          <w:tab w:val="left" w:pos="360"/>
        </w:tabs>
        <w:spacing w:line="300" w:lineRule="exact"/>
        <w:ind w:left="357"/>
        <w:jc w:val="both"/>
      </w:pPr>
    </w:p>
    <w:p w:rsidR="0029185F" w:rsidRDefault="00CC22D1" w:rsidP="0029185F">
      <w:pPr>
        <w:tabs>
          <w:tab w:val="left" w:pos="360"/>
        </w:tabs>
        <w:spacing w:line="300" w:lineRule="exact"/>
        <w:ind w:left="357"/>
        <w:jc w:val="both"/>
      </w:pPr>
      <w:r w:rsidRPr="0094295F">
        <w:t>Cestovné náhrady obsahujú výdavky vzťahujúce sa na zamestnancov zahrnutých v rámci personálnych výdavkov, ktoré vznikli v súvislosti s vykonávaním predmetnej aktivity projektu. Výška oprávnených výdavkov je obmedzená opatreniami uvedenými v zákone č. 283/2002 Z. z. o cestovných náhradách v znení neskorších predpisov. V súlade s rešpektovaním zásady hospodárnosti, finančnej efektívnosti a účelovosti je pri:</w:t>
      </w:r>
    </w:p>
    <w:p w:rsidR="00CC22D1" w:rsidRPr="0094295F" w:rsidRDefault="0029185F" w:rsidP="0029185F">
      <w:pPr>
        <w:tabs>
          <w:tab w:val="left" w:pos="360"/>
        </w:tabs>
        <w:spacing w:line="300" w:lineRule="exact"/>
        <w:ind w:left="357"/>
        <w:jc w:val="both"/>
      </w:pPr>
      <w:r w:rsidRPr="0094295F">
        <w:t xml:space="preserve"> </w:t>
      </w:r>
    </w:p>
    <w:p w:rsidR="00CC22D1" w:rsidRPr="0094295F" w:rsidRDefault="00CC22D1" w:rsidP="00162905">
      <w:pPr>
        <w:pStyle w:val="Odsekzoznamu"/>
        <w:numPr>
          <w:ilvl w:val="0"/>
          <w:numId w:val="14"/>
        </w:numPr>
        <w:tabs>
          <w:tab w:val="left" w:pos="426"/>
        </w:tabs>
        <w:spacing w:after="0" w:line="300" w:lineRule="exact"/>
        <w:ind w:left="851" w:hanging="284"/>
        <w:jc w:val="both"/>
        <w:rPr>
          <w:szCs w:val="24"/>
          <w:lang w:eastAsia="sk-SK"/>
        </w:rPr>
      </w:pPr>
      <w:r w:rsidRPr="0094295F">
        <w:rPr>
          <w:szCs w:val="24"/>
          <w:lang w:eastAsia="sk-SK"/>
        </w:rPr>
        <w:t>použití motorového vozidla organizácie konečného prijímateľa finančnej pomoci v rámci tejto položky oprávnená náhrada vo výške spotreby pohonných hmôt</w:t>
      </w:r>
    </w:p>
    <w:p w:rsidR="00CC22D1" w:rsidRPr="0094295F" w:rsidRDefault="00CC22D1" w:rsidP="00162905">
      <w:pPr>
        <w:pStyle w:val="Odsekzoznamu"/>
        <w:numPr>
          <w:ilvl w:val="0"/>
          <w:numId w:val="14"/>
        </w:numPr>
        <w:tabs>
          <w:tab w:val="left" w:pos="851"/>
        </w:tabs>
        <w:spacing w:beforeLines="60" w:before="144" w:after="0" w:line="300" w:lineRule="exact"/>
        <w:ind w:left="851" w:hanging="284"/>
        <w:jc w:val="both"/>
        <w:rPr>
          <w:szCs w:val="24"/>
          <w:lang w:eastAsia="sk-SK"/>
        </w:rPr>
      </w:pPr>
      <w:r w:rsidRPr="0094295F">
        <w:rPr>
          <w:szCs w:val="24"/>
          <w:lang w:eastAsia="sk-SK"/>
        </w:rPr>
        <w:t>použití súkromného motorového vozidla náhrada vo výške cestovného verejnej dopravy</w:t>
      </w:r>
    </w:p>
    <w:p w:rsidR="00CC22D1" w:rsidRPr="0094295F" w:rsidRDefault="00CC22D1" w:rsidP="00162905">
      <w:pPr>
        <w:pStyle w:val="Odsekzoznamu"/>
        <w:numPr>
          <w:ilvl w:val="0"/>
          <w:numId w:val="14"/>
        </w:numPr>
        <w:tabs>
          <w:tab w:val="left" w:pos="851"/>
        </w:tabs>
        <w:spacing w:beforeLines="60" w:before="144" w:after="0" w:line="300" w:lineRule="exact"/>
        <w:ind w:left="851" w:hanging="284"/>
        <w:jc w:val="both"/>
        <w:rPr>
          <w:szCs w:val="24"/>
          <w:lang w:eastAsia="sk-SK"/>
        </w:rPr>
      </w:pPr>
      <w:r w:rsidRPr="0094295F">
        <w:rPr>
          <w:szCs w:val="24"/>
          <w:lang w:eastAsia="sk-SK"/>
        </w:rPr>
        <w:t>použití prostriedku verejnej dopravy náhrada vo výške cestovného verejnej dopravy (je možné využiť na tuzemské pracovné cesty aj leteckú prepravu – do výšky ekonomickej triedy)</w:t>
      </w:r>
    </w:p>
    <w:p w:rsidR="00CC22D1" w:rsidRPr="0094295F" w:rsidRDefault="00CC22D1" w:rsidP="00162905">
      <w:pPr>
        <w:pStyle w:val="Odsekzoznamu"/>
        <w:numPr>
          <w:ilvl w:val="0"/>
          <w:numId w:val="14"/>
        </w:numPr>
        <w:tabs>
          <w:tab w:val="left" w:pos="851"/>
        </w:tabs>
        <w:spacing w:beforeLines="60" w:before="144" w:after="0"/>
        <w:ind w:left="851" w:hanging="284"/>
        <w:jc w:val="both"/>
        <w:rPr>
          <w:szCs w:val="24"/>
          <w:lang w:eastAsia="sk-SK"/>
        </w:rPr>
      </w:pPr>
      <w:r w:rsidRPr="0094295F">
        <w:rPr>
          <w:szCs w:val="24"/>
          <w:lang w:eastAsia="sk-SK"/>
        </w:rPr>
        <w:t>použití taxíka oprávnená náhrada vo výške skutočných výdavkov (ak je to nevyhnutné, priamo súvisiace s projektom a je preukázané zabezpečenie hospodárneho, efektívneho a účinného vynakladania verejných prostriedkov)</w:t>
      </w:r>
    </w:p>
    <w:p w:rsidR="00CC22D1" w:rsidRPr="0094295F" w:rsidRDefault="00CC22D1" w:rsidP="005270F7">
      <w:pPr>
        <w:pStyle w:val="Odsekzoznamu"/>
        <w:tabs>
          <w:tab w:val="left" w:pos="360"/>
        </w:tabs>
        <w:spacing w:after="0" w:line="300" w:lineRule="exact"/>
        <w:ind w:left="2160"/>
        <w:jc w:val="both"/>
        <w:rPr>
          <w:szCs w:val="24"/>
          <w:lang w:eastAsia="sk-SK"/>
        </w:rPr>
      </w:pPr>
    </w:p>
    <w:p w:rsidR="00CC22D1" w:rsidRPr="0094295F" w:rsidRDefault="00CC22D1" w:rsidP="00A446F8">
      <w:pPr>
        <w:tabs>
          <w:tab w:val="left" w:pos="360"/>
        </w:tabs>
        <w:spacing w:line="300" w:lineRule="exact"/>
        <w:ind w:left="357"/>
        <w:jc w:val="both"/>
      </w:pPr>
      <w:r w:rsidRPr="0094295F">
        <w:t>Do položky cestovné sa nezahŕňajú výdavky týkajúce sa údržby a obsluhy motorového vozidla organizácie.</w:t>
      </w:r>
    </w:p>
    <w:p w:rsidR="00CC22D1" w:rsidRPr="00A446F8" w:rsidRDefault="00CC22D1" w:rsidP="005270F7">
      <w:pPr>
        <w:pStyle w:val="Odsekzoznamu"/>
        <w:numPr>
          <w:ilvl w:val="0"/>
          <w:numId w:val="15"/>
        </w:numPr>
        <w:tabs>
          <w:tab w:val="left" w:pos="360"/>
        </w:tabs>
        <w:spacing w:after="0" w:line="300" w:lineRule="exact"/>
        <w:ind w:left="851" w:hanging="284"/>
        <w:jc w:val="both"/>
        <w:rPr>
          <w:szCs w:val="24"/>
          <w:lang w:eastAsia="sk-SK"/>
        </w:rPr>
      </w:pPr>
      <w:r w:rsidRPr="0094295F">
        <w:rPr>
          <w:b/>
          <w:szCs w:val="24"/>
          <w:lang w:eastAsia="sk-SK"/>
        </w:rPr>
        <w:t>Výdavky na ubytovanie</w:t>
      </w:r>
      <w:r w:rsidRPr="0094295F">
        <w:rPr>
          <w:b/>
        </w:rPr>
        <w:t xml:space="preserve"> </w:t>
      </w:r>
      <w:r w:rsidRPr="0094295F">
        <w:rPr>
          <w:b/>
          <w:szCs w:val="24"/>
          <w:lang w:eastAsia="sk-SK"/>
        </w:rPr>
        <w:t>u účastníkov, zamestnancov konečného prijímateľa finančnej pomoci a osôb mimo pracovnoprávneho vzťahu zúčastňujúcich sa na vzdelávacej aktivite</w:t>
      </w:r>
      <w:r w:rsidRPr="0094295F">
        <w:rPr>
          <w:szCs w:val="24"/>
          <w:lang w:eastAsia="sk-SK"/>
        </w:rPr>
        <w:t xml:space="preserve"> nesmú prekročiť maximálne stanovenú čiastku </w:t>
      </w:r>
      <w:r w:rsidRPr="0094295F">
        <w:rPr>
          <w:b/>
          <w:szCs w:val="24"/>
          <w:lang w:eastAsia="sk-SK"/>
        </w:rPr>
        <w:t>100</w:t>
      </w:r>
      <w:r w:rsidRPr="0094295F">
        <w:rPr>
          <w:b/>
          <w:bCs/>
          <w:szCs w:val="24"/>
          <w:lang w:eastAsia="sk-SK"/>
        </w:rPr>
        <w:t xml:space="preserve"> EUR/noc/osobu, za podmienky, že uvedená cena zodpovedá obvyklým cenám v danom mieste a čase.</w:t>
      </w:r>
    </w:p>
    <w:p w:rsidR="00CC22D1" w:rsidRPr="0094295F" w:rsidRDefault="00CC22D1" w:rsidP="00162905">
      <w:pPr>
        <w:pStyle w:val="Odsekzoznamu"/>
        <w:numPr>
          <w:ilvl w:val="0"/>
          <w:numId w:val="15"/>
        </w:numPr>
        <w:tabs>
          <w:tab w:val="left" w:pos="360"/>
        </w:tabs>
        <w:spacing w:beforeLines="60" w:before="144" w:after="0" w:line="300" w:lineRule="exact"/>
        <w:ind w:left="851" w:hanging="284"/>
        <w:jc w:val="both"/>
        <w:rPr>
          <w:szCs w:val="24"/>
          <w:lang w:eastAsia="sk-SK"/>
        </w:rPr>
      </w:pPr>
      <w:r w:rsidRPr="0094295F">
        <w:rPr>
          <w:b/>
          <w:bCs/>
          <w:szCs w:val="24"/>
          <w:lang w:eastAsia="sk-SK"/>
        </w:rPr>
        <w:t>Výd</w:t>
      </w:r>
      <w:r>
        <w:rPr>
          <w:b/>
          <w:bCs/>
          <w:szCs w:val="24"/>
          <w:lang w:eastAsia="sk-SK"/>
        </w:rPr>
        <w:t>a</w:t>
      </w:r>
      <w:r w:rsidRPr="0094295F">
        <w:rPr>
          <w:b/>
          <w:bCs/>
          <w:szCs w:val="24"/>
          <w:lang w:eastAsia="sk-SK"/>
        </w:rPr>
        <w:t xml:space="preserve">vky na stravu </w:t>
      </w:r>
      <w:r w:rsidRPr="0094295F">
        <w:rPr>
          <w:b/>
          <w:szCs w:val="24"/>
          <w:lang w:eastAsia="sk-SK"/>
        </w:rPr>
        <w:t>u účastníkov, zamestnancov konečného prijímateľa finančnej pomoci zúčastňujúcich sa na vzdelávacej aktivite</w:t>
      </w:r>
      <w:r w:rsidRPr="0094295F">
        <w:rPr>
          <w:szCs w:val="24"/>
          <w:lang w:eastAsia="sk-SK"/>
        </w:rPr>
        <w:t xml:space="preserve"> </w:t>
      </w:r>
      <w:r w:rsidRPr="0094295F">
        <w:rPr>
          <w:b/>
          <w:bCs/>
          <w:szCs w:val="24"/>
          <w:lang w:eastAsia="sk-SK"/>
        </w:rPr>
        <w:t>nesmú prekročiť maximálne stanovenú čiastku 30 EUR/deň/osobu. U zamestnancov konečného prijímateľa finančnej pomoci je tento výdavok akceptovateľný iba v prípade, že si neuplatňujú cestovné náhrady (vtedy sa vyplatí čiastka maximálne do výšky v súlade s opatrením Ministerstva práce, sociálnych vecí a rodiny SR).</w:t>
      </w:r>
    </w:p>
    <w:p w:rsidR="00CC22D1" w:rsidRPr="0094295F" w:rsidRDefault="00CC22D1" w:rsidP="0029185F">
      <w:pPr>
        <w:tabs>
          <w:tab w:val="num" w:pos="1134"/>
        </w:tabs>
        <w:spacing w:line="300" w:lineRule="exact"/>
        <w:ind w:left="357"/>
        <w:jc w:val="both"/>
      </w:pPr>
      <w:r w:rsidRPr="0094295F">
        <w:t xml:space="preserve">Výdavky na zahraničné informačné a vzdelávacie stáže a návštevy v EÚ môžu predstavovať maximálne 30 % z oprávnených výdavkov na projekt (z podpory sú vylúčené výdavky na pracovné cesty a stáže do zámorských oblastí krajín EÚ).  </w:t>
      </w:r>
    </w:p>
    <w:p w:rsidR="00CC22D1" w:rsidRPr="0094295F" w:rsidRDefault="00CC22D1" w:rsidP="00162905">
      <w:pPr>
        <w:numPr>
          <w:ilvl w:val="0"/>
          <w:numId w:val="12"/>
        </w:numPr>
        <w:tabs>
          <w:tab w:val="clear" w:pos="1260"/>
          <w:tab w:val="num" w:pos="709"/>
        </w:tabs>
        <w:spacing w:line="300" w:lineRule="exact"/>
        <w:ind w:left="1134" w:hanging="425"/>
        <w:jc w:val="both"/>
      </w:pPr>
      <w:r w:rsidRPr="0094295F">
        <w:t>výdavky na zahraničné informačné a vzdelávacie stáže a návštevy v EÚ pre organizátorov, lektorov, cieľovú skupinu vzdelávacieho projektu, tlmočníkov, maximálne do výšky 230 EUR vrátane ubytovania, stravy, cestovného a poistenia na osobu a deň (nezahŕňa cestu do miesta stáže alebo návštevy).</w:t>
      </w:r>
    </w:p>
    <w:p w:rsidR="00CC22D1" w:rsidRPr="0094295F" w:rsidRDefault="00CC22D1" w:rsidP="00162905">
      <w:pPr>
        <w:numPr>
          <w:ilvl w:val="0"/>
          <w:numId w:val="12"/>
        </w:numPr>
        <w:tabs>
          <w:tab w:val="clear" w:pos="1260"/>
          <w:tab w:val="num" w:pos="709"/>
        </w:tabs>
        <w:spacing w:line="300" w:lineRule="exact"/>
        <w:ind w:left="1134" w:hanging="425"/>
        <w:jc w:val="both"/>
      </w:pPr>
      <w:r w:rsidRPr="0094295F">
        <w:t>výdavky na tuzemské informačné a vzdelávacie stáže a návštevy pre organizátorov, lektorov, cieľovú skupinu vzdelávacieho projektu maximálne do výšky 150 EUR vrátane ubytovania, stravy, cestovného a poistenia na osobu a deň.</w:t>
      </w:r>
    </w:p>
    <w:p w:rsidR="00CC22D1" w:rsidRPr="0094295F" w:rsidRDefault="00CC22D1" w:rsidP="0029185F">
      <w:pPr>
        <w:tabs>
          <w:tab w:val="num" w:pos="1134"/>
        </w:tabs>
        <w:spacing w:line="300" w:lineRule="exact"/>
        <w:ind w:left="1134"/>
        <w:jc w:val="both"/>
      </w:pPr>
    </w:p>
    <w:p w:rsidR="00CC22D1" w:rsidRPr="003536C6" w:rsidRDefault="00CC22D1" w:rsidP="00162905">
      <w:pPr>
        <w:pStyle w:val="Odsekzoznamu"/>
        <w:numPr>
          <w:ilvl w:val="0"/>
          <w:numId w:val="16"/>
        </w:numPr>
        <w:spacing w:after="0" w:line="276" w:lineRule="auto"/>
        <w:ind w:left="714" w:hanging="357"/>
        <w:jc w:val="both"/>
        <w:rPr>
          <w:b/>
        </w:rPr>
      </w:pPr>
      <w:r w:rsidRPr="00C92005">
        <w:rPr>
          <w:b/>
        </w:rPr>
        <w:t>Ostatné výdavky organizátora (len tie, ktoré sú nevyhnutné pre riadnu realizáciu prác na projekte a sú ľahko identifikovateľné) na:</w:t>
      </w:r>
    </w:p>
    <w:p w:rsidR="00CC22D1" w:rsidRPr="0094295F" w:rsidRDefault="00CC22D1" w:rsidP="0029185F">
      <w:pPr>
        <w:ind w:left="357"/>
        <w:jc w:val="both"/>
        <w:rPr>
          <w:b/>
          <w:bCs/>
          <w:noProof/>
        </w:rPr>
      </w:pPr>
    </w:p>
    <w:p w:rsidR="00CC22D1" w:rsidRPr="0094295F" w:rsidRDefault="00CC22D1" w:rsidP="00162905">
      <w:pPr>
        <w:numPr>
          <w:ilvl w:val="0"/>
          <w:numId w:val="12"/>
        </w:numPr>
        <w:tabs>
          <w:tab w:val="num" w:pos="1134"/>
        </w:tabs>
        <w:spacing w:line="300" w:lineRule="exact"/>
        <w:ind w:left="1134" w:hanging="425"/>
        <w:jc w:val="both"/>
      </w:pPr>
      <w:r w:rsidRPr="0094295F">
        <w:t xml:space="preserve">výdavky na prenájom didaktickej techniky, prenájom učebného priestoru – sú oprávnenými výdavkami za predpokladu, že sa zakladajú na skutočných výdavkoch, týkajúcich sa realizácie projektu a sú riadne preukázateľné </w:t>
      </w:r>
      <w:r w:rsidRPr="0094295F">
        <w:rPr>
          <w:b/>
        </w:rPr>
        <w:t xml:space="preserve">(prenájom vlastnej didaktickej techniky a vlastného učebného priestoru nie sú zaradené medzi priame oprávnené výdavky, je ich možné zahrnúť medzi nepriame výdavky v rámci paušálnych výdavkov). Maximálne limity v nasledujúcej tabuľke sú orientačné. Pokiaľ konkrétny hotel ponúka prenájom učebného priestoru za nižšiu cenu, oprávnený výdavok je táto cena a nie maximálna cena uvedená v tabuľke. </w:t>
      </w:r>
    </w:p>
    <w:p w:rsidR="00CC22D1" w:rsidRPr="0094295F" w:rsidRDefault="00CC22D1" w:rsidP="00162905">
      <w:pPr>
        <w:numPr>
          <w:ilvl w:val="0"/>
          <w:numId w:val="12"/>
        </w:numPr>
        <w:tabs>
          <w:tab w:val="num" w:pos="1134"/>
        </w:tabs>
        <w:spacing w:line="300" w:lineRule="exact"/>
        <w:ind w:left="1134" w:hanging="425"/>
        <w:jc w:val="both"/>
      </w:pPr>
      <w:r w:rsidRPr="0094295F">
        <w:t>kancelárske potreby (papier, toner, bežné kancelárske kopírovanie a pod.),</w:t>
      </w:r>
    </w:p>
    <w:p w:rsidR="00CC22D1" w:rsidRPr="0094295F" w:rsidRDefault="00CC22D1" w:rsidP="00162905">
      <w:pPr>
        <w:numPr>
          <w:ilvl w:val="0"/>
          <w:numId w:val="12"/>
        </w:numPr>
        <w:tabs>
          <w:tab w:val="num" w:pos="1134"/>
        </w:tabs>
        <w:spacing w:line="300" w:lineRule="exact"/>
        <w:ind w:left="1134" w:hanging="425"/>
        <w:jc w:val="both"/>
      </w:pPr>
      <w:r w:rsidRPr="0094295F">
        <w:t>tvorbu a tlač študijného a informačného  materiálu – návrhy, grafická úprava, odborná úprava,  tlač a kopírovanie a väzbu vo väčších množstvách pri príprave a výrobe učebných materiálov, výdavky spojené s poštovou distribúciou a pod.,</w:t>
      </w:r>
    </w:p>
    <w:p w:rsidR="00CC22D1" w:rsidRPr="0094295F" w:rsidRDefault="00CC22D1" w:rsidP="00162905">
      <w:pPr>
        <w:numPr>
          <w:ilvl w:val="0"/>
          <w:numId w:val="12"/>
        </w:numPr>
        <w:tabs>
          <w:tab w:val="num" w:pos="1134"/>
        </w:tabs>
        <w:spacing w:line="300" w:lineRule="exact"/>
        <w:ind w:left="1134" w:hanging="425"/>
        <w:jc w:val="both"/>
      </w:pPr>
      <w:r w:rsidRPr="0094295F">
        <w:t>šírenie informácií a publicitu projektu (tvorba webovej stránky, tlačové konferencie, výroba informačných a propagačných materiálov vrátane zverejnenia v tlači a masmédiách, prenájom výstavnej plochy a ďalšie diseminačné aktivity projektu).V prípade masovokomunikačných prostriedkov preukazuje organizátor oprávnenosť výdavku prostredníctvom relevantného dokladu o zverejnení príslušného obsahu v masmédiách – napr. záznam obsahu, potvrdenie vysielateľa a pod. pričom z predloženého dokladu musí byť zrejmý obsah a časť vysielania. Uvedené doklady súčasne slúžia k preukázaniu dopadu projektu na cieľové skupiny projektu.</w:t>
      </w:r>
    </w:p>
    <w:p w:rsidR="00CC22D1" w:rsidRPr="0094295F" w:rsidRDefault="00CC22D1" w:rsidP="00A446F8">
      <w:pPr>
        <w:ind w:left="709" w:hanging="284"/>
        <w:jc w:val="both"/>
      </w:pPr>
    </w:p>
    <w:p w:rsidR="00CC22D1" w:rsidRPr="00C92005" w:rsidRDefault="00CC22D1" w:rsidP="00162905">
      <w:pPr>
        <w:numPr>
          <w:ilvl w:val="0"/>
          <w:numId w:val="16"/>
        </w:numPr>
        <w:ind w:left="357" w:hanging="357"/>
        <w:jc w:val="both"/>
      </w:pPr>
      <w:r w:rsidRPr="0094295F">
        <w:rPr>
          <w:b/>
          <w:bCs/>
          <w:noProof/>
        </w:rPr>
        <w:t xml:space="preserve">Paušálne (nepriame) výdavky na ostatnú réžiu do maximálnej výšky 20 % z celkových výdavkov projektu. </w:t>
      </w:r>
      <w:r w:rsidRPr="0094295F">
        <w:rPr>
          <w:noProof/>
        </w:rPr>
        <w:t>Sú to výdavky/náklady súvisiace so zabezpečením podporných aktivít projektu a taktiež režijné náklady konečného prijímateľa finančnej pomoci, ktoré súvisia s projektom,</w:t>
      </w:r>
      <w:r w:rsidRPr="0094295F">
        <w:t xml:space="preserve"> </w:t>
      </w:r>
      <w:r w:rsidRPr="0094295F">
        <w:rPr>
          <w:b/>
          <w:bCs/>
          <w:i/>
          <w:iCs/>
          <w:noProof/>
        </w:rPr>
        <w:t>okrem výdavkov, ktoré  si konečný prijímateľ finančnej pomoci uplatňuje v priamych oprávnených výdavkoch v rámci projektu</w:t>
      </w:r>
      <w:r w:rsidRPr="0094295F">
        <w:rPr>
          <w:noProof/>
        </w:rPr>
        <w:t xml:space="preserve">. Konečný prijímateľ finančnej pomoci  k paušálnym (nepriamym) výdavkom nepredkladá v Žiadosti o platbu žiadne podporné dokumenty. </w:t>
      </w:r>
    </w:p>
    <w:p w:rsidR="00CC22D1" w:rsidRDefault="00CC22D1" w:rsidP="00CC22D1">
      <w:pPr>
        <w:autoSpaceDE w:val="0"/>
        <w:autoSpaceDN w:val="0"/>
        <w:adjustRightInd w:val="0"/>
        <w:spacing w:line="280" w:lineRule="exact"/>
        <w:ind w:left="360"/>
        <w:jc w:val="both"/>
        <w:rPr>
          <w:bCs/>
        </w:rPr>
      </w:pPr>
    </w:p>
    <w:p w:rsidR="00C8538C" w:rsidRPr="00916298" w:rsidRDefault="00C8538C" w:rsidP="00162905">
      <w:pPr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426" w:hanging="426"/>
        <w:jc w:val="both"/>
        <w:rPr>
          <w:b/>
          <w:bCs/>
          <w:color w:val="000000"/>
        </w:rPr>
      </w:pPr>
      <w:r w:rsidRPr="003E4356">
        <w:rPr>
          <w:b/>
          <w:bCs/>
          <w:color w:val="000000"/>
        </w:rPr>
        <w:t xml:space="preserve">Oprávnenosť miesta </w:t>
      </w:r>
      <w:r w:rsidRPr="00916298">
        <w:rPr>
          <w:b/>
          <w:bCs/>
          <w:color w:val="000000"/>
        </w:rPr>
        <w:t xml:space="preserve">realizácie projektu: </w:t>
      </w:r>
    </w:p>
    <w:p w:rsidR="00C8538C" w:rsidRPr="003E4356" w:rsidRDefault="00B44EE4" w:rsidP="000A72E1">
      <w:pPr>
        <w:autoSpaceDE w:val="0"/>
        <w:autoSpaceDN w:val="0"/>
        <w:adjustRightInd w:val="0"/>
        <w:spacing w:before="120" w:line="280" w:lineRule="exact"/>
        <w:ind w:left="357"/>
        <w:jc w:val="both"/>
      </w:pPr>
      <w:r w:rsidRPr="00916298">
        <w:rPr>
          <w:rFonts w:ascii="TimesNewRoman,Bold" w:hAnsi="TimesNewRoman,Bold" w:cs="TimesNewRoman,Bold"/>
          <w:bCs/>
        </w:rPr>
        <w:t>Za oprávnené miesto realizácie projektu</w:t>
      </w:r>
      <w:r w:rsidRPr="003E4356">
        <w:rPr>
          <w:rFonts w:ascii="TimesNewRoman,Bold" w:hAnsi="TimesNewRoman,Bold" w:cs="TimesNewRoman,Bold"/>
          <w:bCs/>
        </w:rPr>
        <w:t xml:space="preserve"> je považované </w:t>
      </w:r>
      <w:r w:rsidRPr="003E4356">
        <w:t>celé územie Slovenskej republiky</w:t>
      </w:r>
      <w:r w:rsidR="00C8538C" w:rsidRPr="003E4356">
        <w:t>, ktoré je rozdelené na oblasti cieľa Konvergencia a na oblasti mimo cieľa Konvergencia. Oblasti cieľa Konvergencia sú: Západné Slovensko (Trnavský kraj, Nitriansky kraj, Trenčiansky kraj), Stredné Slovensko: (Banskobystrický kraj, Žilinský kraj) a Východné Slovensko (Košický kraj, Prešovský kraj). Oblasti mimo cieľa Konvergencia zahŕňajú územie Bratislavského kraja.</w:t>
      </w:r>
    </w:p>
    <w:p w:rsidR="00C8538C" w:rsidRPr="003E4356" w:rsidRDefault="00C8538C" w:rsidP="00C8538C">
      <w:pPr>
        <w:autoSpaceDE w:val="0"/>
        <w:autoSpaceDN w:val="0"/>
        <w:adjustRightInd w:val="0"/>
        <w:spacing w:line="280" w:lineRule="exact"/>
        <w:ind w:left="360"/>
        <w:jc w:val="both"/>
        <w:rPr>
          <w:b/>
          <w:bCs/>
        </w:rPr>
      </w:pPr>
    </w:p>
    <w:p w:rsidR="00DD3FD8" w:rsidRPr="003E4356" w:rsidRDefault="00DD3FD8" w:rsidP="00162905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3E4356">
        <w:rPr>
          <w:b/>
          <w:bCs/>
          <w:color w:val="000000"/>
        </w:rPr>
        <w:t xml:space="preserve">Časová oprávnenosť realizácie projektu: </w:t>
      </w:r>
    </w:p>
    <w:p w:rsidR="000A72E1" w:rsidRPr="003E4356" w:rsidRDefault="000A72E1" w:rsidP="000A72E1">
      <w:pPr>
        <w:autoSpaceDE w:val="0"/>
        <w:autoSpaceDN w:val="0"/>
        <w:adjustRightInd w:val="0"/>
        <w:spacing w:line="280" w:lineRule="exact"/>
        <w:ind w:left="357"/>
        <w:jc w:val="both"/>
        <w:rPr>
          <w:rFonts w:ascii="TimesNewRoman,Bold" w:hAnsi="TimesNewRoman,Bold" w:cs="TimesNewRoman,Bold"/>
          <w:bCs/>
        </w:rPr>
      </w:pPr>
    </w:p>
    <w:p w:rsidR="00DD3FD8" w:rsidRPr="003E4356" w:rsidRDefault="00B44EE4" w:rsidP="000A72E1">
      <w:pPr>
        <w:autoSpaceDE w:val="0"/>
        <w:autoSpaceDN w:val="0"/>
        <w:adjustRightInd w:val="0"/>
        <w:spacing w:line="280" w:lineRule="exact"/>
        <w:ind w:left="357"/>
        <w:jc w:val="both"/>
        <w:rPr>
          <w:rFonts w:ascii="TimesNewRoman,Bold" w:hAnsi="TimesNewRoman,Bold" w:cs="TimesNewRoman,Bold"/>
          <w:bCs/>
        </w:rPr>
      </w:pPr>
      <w:r w:rsidRPr="003E4356">
        <w:rPr>
          <w:rFonts w:ascii="TimesNewRoman,Bold" w:hAnsi="TimesNewRoman,Bold" w:cs="TimesNewRoman,Bold"/>
          <w:bCs/>
        </w:rPr>
        <w:t xml:space="preserve">Žiadateľ musí predložiť poslednú žiadosť o platbu </w:t>
      </w:r>
      <w:r w:rsidRPr="00916298">
        <w:rPr>
          <w:rFonts w:ascii="TimesNewRoman,Bold" w:hAnsi="TimesNewRoman,Bold" w:cs="TimesNewRoman,Bold"/>
          <w:bCs/>
        </w:rPr>
        <w:t>najneskôr do</w:t>
      </w:r>
      <w:r w:rsidR="00CB65FF" w:rsidRPr="00916298">
        <w:rPr>
          <w:rFonts w:ascii="TimesNewRoman,Bold" w:hAnsi="TimesNewRoman,Bold" w:cs="TimesNewRoman,Bold"/>
          <w:bCs/>
        </w:rPr>
        <w:t xml:space="preserve"> 3</w:t>
      </w:r>
      <w:r w:rsidR="00916298">
        <w:rPr>
          <w:rFonts w:ascii="TimesNewRoman,Bold" w:hAnsi="TimesNewRoman,Bold" w:cs="TimesNewRoman,Bold"/>
          <w:bCs/>
        </w:rPr>
        <w:t>1</w:t>
      </w:r>
      <w:r w:rsidR="00CB65FF" w:rsidRPr="00916298">
        <w:rPr>
          <w:rFonts w:ascii="TimesNewRoman,Bold" w:hAnsi="TimesNewRoman,Bold" w:cs="TimesNewRoman,Bold"/>
          <w:bCs/>
        </w:rPr>
        <w:t>.</w:t>
      </w:r>
      <w:r w:rsidR="00C7608B" w:rsidRPr="00916298">
        <w:rPr>
          <w:rFonts w:ascii="TimesNewRoman,Bold" w:hAnsi="TimesNewRoman,Bold" w:cs="TimesNewRoman,Bold"/>
          <w:bCs/>
        </w:rPr>
        <w:t>0</w:t>
      </w:r>
      <w:r w:rsidR="00916298" w:rsidRPr="00916298">
        <w:rPr>
          <w:rFonts w:ascii="TimesNewRoman,Bold" w:hAnsi="TimesNewRoman,Bold" w:cs="TimesNewRoman,Bold"/>
          <w:bCs/>
        </w:rPr>
        <w:t>3</w:t>
      </w:r>
      <w:r w:rsidR="00CB65FF" w:rsidRPr="00916298">
        <w:rPr>
          <w:rFonts w:ascii="TimesNewRoman,Bold" w:hAnsi="TimesNewRoman,Bold" w:cs="TimesNewRoman,Bold"/>
          <w:bCs/>
        </w:rPr>
        <w:t>.201</w:t>
      </w:r>
      <w:r w:rsidR="00C7608B" w:rsidRPr="00916298">
        <w:rPr>
          <w:rFonts w:ascii="TimesNewRoman,Bold" w:hAnsi="TimesNewRoman,Bold" w:cs="TimesNewRoman,Bold"/>
          <w:bCs/>
        </w:rPr>
        <w:t>5</w:t>
      </w:r>
      <w:r w:rsidRPr="00916298">
        <w:rPr>
          <w:rFonts w:ascii="TimesNewRoman,Bold" w:hAnsi="TimesNewRoman,Bold" w:cs="TimesNewRoman,Bold"/>
          <w:bCs/>
        </w:rPr>
        <w:t>.</w:t>
      </w:r>
    </w:p>
    <w:p w:rsidR="00CB65FF" w:rsidRPr="003E4356" w:rsidRDefault="00CB65FF" w:rsidP="00DD3FD8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TimesNewRoman,Bold" w:hAnsi="TimesNewRoman,Bold" w:cs="TimesNewRoman,Bold"/>
          <w:bCs/>
        </w:rPr>
      </w:pPr>
    </w:p>
    <w:p w:rsidR="00CB65FF" w:rsidRPr="003E4356" w:rsidRDefault="00CB65FF" w:rsidP="00162905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3E4356">
        <w:rPr>
          <w:b/>
          <w:bCs/>
          <w:color w:val="000000"/>
        </w:rPr>
        <w:t>Kritériá pre posúdenie projektov</w:t>
      </w:r>
      <w:r w:rsidR="005270F7" w:rsidRPr="005270F7">
        <w:rPr>
          <w:rFonts w:ascii="TimesNewRoman" w:hAnsi="TimesNewRoman" w:cs="TimesNewRoman"/>
          <w:b/>
        </w:rPr>
        <w:t xml:space="preserve"> </w:t>
      </w:r>
      <w:r w:rsidR="005270F7">
        <w:rPr>
          <w:rFonts w:ascii="TimesNewRoman" w:hAnsi="TimesNewRoman" w:cs="TimesNewRoman"/>
          <w:b/>
        </w:rPr>
        <w:t>- k</w:t>
      </w:r>
      <w:r w:rsidR="005270F7" w:rsidRPr="003E4356">
        <w:rPr>
          <w:rFonts w:ascii="TimesNewRoman" w:hAnsi="TimesNewRoman" w:cs="TimesNewRoman"/>
          <w:b/>
        </w:rPr>
        <w:t>ritériá spôsobilosti</w:t>
      </w:r>
      <w:r w:rsidRPr="003E4356">
        <w:rPr>
          <w:b/>
          <w:bCs/>
          <w:color w:val="000000"/>
        </w:rPr>
        <w:t>:</w:t>
      </w:r>
    </w:p>
    <w:p w:rsidR="00372FBF" w:rsidRPr="003E4356" w:rsidRDefault="00372FBF" w:rsidP="005270F7">
      <w:pPr>
        <w:autoSpaceDE w:val="0"/>
        <w:autoSpaceDN w:val="0"/>
        <w:adjustRightInd w:val="0"/>
        <w:ind w:left="567"/>
        <w:jc w:val="both"/>
        <w:rPr>
          <w:rFonts w:ascii="TimesNewRoman" w:hAnsi="TimesNewRoman" w:cs="TimesNewRoman"/>
          <w:b/>
        </w:rPr>
      </w:pPr>
    </w:p>
    <w:p w:rsidR="00CC22D1" w:rsidRPr="0094295F" w:rsidRDefault="00CC22D1" w:rsidP="005270F7">
      <w:pPr>
        <w:jc w:val="both"/>
        <w:rPr>
          <w:noProof/>
        </w:rPr>
      </w:pPr>
      <w:r w:rsidRPr="0094295F">
        <w:t>Oprávnenosť projektov na financovanie z PRV je podmienená splnením všetkých nasledovných kritérií spôsobilosti stanovených pre toto opatrenie:</w:t>
      </w:r>
      <w:r w:rsidRPr="0094295F">
        <w:rPr>
          <w:noProof/>
        </w:rPr>
        <w:t xml:space="preserve"> </w:t>
      </w:r>
    </w:p>
    <w:p w:rsidR="00CC22D1" w:rsidRPr="0094295F" w:rsidRDefault="00CC22D1" w:rsidP="00162905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Lines="60" w:before="144"/>
        <w:ind w:left="426" w:hanging="426"/>
        <w:jc w:val="both"/>
      </w:pPr>
      <w:r w:rsidRPr="0094295F">
        <w:t xml:space="preserve">Žiadateľ </w:t>
      </w:r>
      <w:r w:rsidRPr="00931796">
        <w:t>má</w:t>
      </w:r>
      <w:r w:rsidRPr="0094295F">
        <w:t xml:space="preserve"> právnu subjektivitu a oficiálne zaregistrovan</w:t>
      </w:r>
      <w:r w:rsidRPr="00931796">
        <w:t>é</w:t>
      </w:r>
      <w:r w:rsidRPr="0094295F">
        <w:t xml:space="preserve"> sídlo na území Slovenska</w:t>
      </w:r>
      <w:r>
        <w:t>.</w:t>
      </w:r>
      <w:r w:rsidRPr="0094295F">
        <w:t xml:space="preserve"> Preukazuje sa pri predložení obsahového námetu.</w:t>
      </w:r>
    </w:p>
    <w:p w:rsidR="00CC22D1" w:rsidRPr="00456D2C" w:rsidRDefault="00CC22D1" w:rsidP="0016290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/>
        <w:ind w:left="426" w:hanging="426"/>
        <w:jc w:val="both"/>
      </w:pPr>
      <w:r w:rsidRPr="0094295F">
        <w:t xml:space="preserve">Projekt sa musí realizovať pre subjekty, ktoré sú konečnými prijímateľmi nefinančnej pomoci. Preukazuje sa pri </w:t>
      </w:r>
      <w:r w:rsidRPr="00456D2C">
        <w:t>ŽoP.</w:t>
      </w:r>
    </w:p>
    <w:p w:rsidR="00CC22D1" w:rsidRPr="0094295F" w:rsidRDefault="00CC22D1" w:rsidP="0016290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/>
        <w:ind w:left="426" w:hanging="426"/>
        <w:jc w:val="both"/>
      </w:pPr>
      <w:r w:rsidRPr="0094295F">
        <w:t xml:space="preserve">Projekty sa musia predkladať samostatne pre oblasti cieľa Konvergencia a samostatne pre Ostatné oblasti z dôvodu rozdielneho financovania z EÚ a SR. </w:t>
      </w:r>
    </w:p>
    <w:p w:rsidR="00CC22D1" w:rsidRPr="00456D2C" w:rsidRDefault="00CC22D1" w:rsidP="0016290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/>
        <w:ind w:left="426" w:hanging="426"/>
        <w:jc w:val="both"/>
      </w:pPr>
      <w:r w:rsidRPr="0094295F">
        <w:t xml:space="preserve">Žiadateľ musí deklarovať, že pre každý vybraný projekt sa použil iba jeden zdroj financovania z EÚ alebo z národných zdrojov. Preukazuje sa formou čestného vyhlásenia pri </w:t>
      </w:r>
      <w:r w:rsidRPr="00456D2C">
        <w:t>ŽoP.</w:t>
      </w:r>
    </w:p>
    <w:p w:rsidR="00CC22D1" w:rsidRPr="00456D2C" w:rsidRDefault="00CC22D1" w:rsidP="0016290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/>
        <w:ind w:left="360"/>
        <w:jc w:val="both"/>
      </w:pPr>
      <w:r w:rsidRPr="00931796">
        <w:t>Žiadateľ musí predložiť zmluvu</w:t>
      </w:r>
      <w:r w:rsidRPr="0094295F">
        <w:t xml:space="preserve"> o vedení bankového účtu žiadateľa (fotokópia) alebo potvrdenie banky o vedení bankového účtu žiadateľa vrátane uvedenia čísla bankového účtu (fotokópia). Preukazuje sa </w:t>
      </w:r>
      <w:r w:rsidRPr="00456D2C">
        <w:t>pri ŽoP.</w:t>
      </w:r>
    </w:p>
    <w:p w:rsidR="00CC22D1" w:rsidRPr="0094295F" w:rsidRDefault="00CC22D1" w:rsidP="0016290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/>
        <w:ind w:left="426" w:hanging="426"/>
        <w:jc w:val="both"/>
      </w:pPr>
      <w:r w:rsidRPr="0094295F">
        <w:t>Žiadateľ musí predložiť poslednú ŽoP najneskôr do 31.03.2015.</w:t>
      </w:r>
    </w:p>
    <w:p w:rsidR="00CC22D1" w:rsidRPr="00456D2C" w:rsidRDefault="00CC22D1" w:rsidP="0016290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/>
        <w:ind w:left="426" w:hanging="426"/>
        <w:jc w:val="both"/>
      </w:pPr>
      <w:r w:rsidRPr="0094295F">
        <w:t xml:space="preserve">Žiadateľ môže požadovať poplatky od účastníkov maximálne do výšky DPH v prípade, že ide o žiadateľov, pre ktorých je DPH neoprávneným výdavkom na aktivity, ktoré sú oprávnené. Pokiaľ ide o žiadateľov, pre ktorých je DPH oprávneným výdavkom, nesmú žiadať poplatky na oprávnené aktivity. V prípade poplatkov na neoprávnené aktivity poplatky od účastníkov nie sú obmedzované. Preukazuje sa </w:t>
      </w:r>
      <w:r w:rsidRPr="00456D2C">
        <w:t>pri ŽoP.</w:t>
      </w:r>
    </w:p>
    <w:p w:rsidR="00CC22D1" w:rsidRPr="005270F7" w:rsidRDefault="005A493F" w:rsidP="0016290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/>
        <w:ind w:left="426" w:hanging="426"/>
        <w:jc w:val="both"/>
      </w:pPr>
      <w:r w:rsidRPr="005270F7">
        <w:t>Žiadateľ pred podaním ŽoNFP na Pôdohospodársku platobnú agentúru musí požiadať Hodnotiacu komisiu sekcie rozvoja vidieka MPRV SR o schválenie obsahového námetu vzdelávacej a informačnej aktivity. Táto povinnosť platí pre všetky formy ďalšieho vzdelávania a informačných aktivít s aktuálnym obsahom a prínosom pre prax podľa platnej legislatívy SR, ktoré sú uvedené v časti Rozsah a činnosti, body 1. a 2. Komisia v prípade schválenia vydá Oznámenie o schválení obsahového námetu vzdelávacej a informačnej aktivity (ďalej len „Oznámenie“). Metodický pokyn na predloženie žiadosti o schválenie obsahového námetu vzdelávacej a informačnej aktivity Hodnotiacou komisiou sekcie rozvoja vidieka MPRV SR je v Príručke, v Prílohe č. 1. Oznámenie sa vydáva na meno oprávneného žiadateľa, t. j. konečného prijímateľa finančnej pomoci</w:t>
      </w:r>
      <w:r w:rsidRPr="005270F7">
        <w:rPr>
          <w:b/>
        </w:rPr>
        <w:t xml:space="preserve">. Žiadateľ je povinný a oprávnený priložiť Oznámenie ako povinnú prílohu len 1-krát a len k jednej ŽoNFP – podľa evidenčného čísla dokladu. Na jedno Oznámenie nie je možné podať na PPA viac ako 1 ŽoNFP, táto podmienka je platná pre všetky ŽoNFP, predložené odo dňa účinnosti Príručky. Platnosť Oznámenia je 6 mesiacov od dňa jeho vydania. V prípade pozastavenia Výzvy v danom opatrení sa platnosť Oznámenia predlžuje o dobu trvania pozastavenia Výzvy. </w:t>
      </w:r>
      <w:r w:rsidRPr="005270F7">
        <w:t xml:space="preserve">Preukazuje sa pri podaní ŽoNFP. </w:t>
      </w:r>
      <w:r w:rsidRPr="005270F7">
        <w:rPr>
          <w:b/>
        </w:rPr>
        <w:t xml:space="preserve">Vydané Oznámenie o </w:t>
      </w:r>
      <w:r w:rsidRPr="005270F7">
        <w:t>schválení obsahového námetu vzdelávacej a informačnej aktivity</w:t>
      </w:r>
      <w:r w:rsidRPr="005270F7">
        <w:rPr>
          <w:b/>
        </w:rPr>
        <w:t xml:space="preserve"> </w:t>
      </w:r>
      <w:r w:rsidRPr="005270F7">
        <w:t xml:space="preserve">je povinnou prílohou ŽoNFP, ktoré žiadateľ spolu s kópiou </w:t>
      </w:r>
      <w:r w:rsidRPr="005270F7">
        <w:rPr>
          <w:b/>
        </w:rPr>
        <w:t>dokumentácie obsahového námetu</w:t>
      </w:r>
      <w:r w:rsidRPr="005270F7">
        <w:t xml:space="preserve"> uvedeného v žiadosti</w:t>
      </w:r>
      <w:r w:rsidRPr="005270F7">
        <w:rPr>
          <w:b/>
        </w:rPr>
        <w:t xml:space="preserve"> a vyplneným formulárom ŽoNFP</w:t>
      </w:r>
      <w:r w:rsidRPr="005270F7">
        <w:t>, doručí (osobne alebo poštou)  na Ústredie Pôdohospodárskej platobnej agentúry v</w:t>
      </w:r>
      <w:r w:rsidR="001E3872" w:rsidRPr="005270F7">
        <w:t> </w:t>
      </w:r>
      <w:r w:rsidRPr="005270F7">
        <w:t>Bratislave</w:t>
      </w:r>
      <w:r w:rsidR="001E3872" w:rsidRPr="005270F7">
        <w:t>.</w:t>
      </w:r>
    </w:p>
    <w:p w:rsidR="00CC22D1" w:rsidRPr="005270F7" w:rsidRDefault="001E3872" w:rsidP="001E3872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/>
        <w:ind w:left="425"/>
        <w:jc w:val="both"/>
      </w:pPr>
      <w:r w:rsidRPr="005270F7">
        <w:t xml:space="preserve">Žiadateľ, ktorý realizuje projekt na území MAS, musí predložiť pri ŽoNFP potvrdenie od MAS, že aktivita, na ktorú predkladá ŽoNFP, nie je zahrnutá v opatreniach Integrovanej stratégie rozvoja územia. </w:t>
      </w:r>
    </w:p>
    <w:p w:rsidR="00CC22D1" w:rsidRPr="00C92005" w:rsidRDefault="00CC22D1" w:rsidP="0016290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/>
        <w:ind w:left="426" w:hanging="426"/>
        <w:jc w:val="both"/>
      </w:pPr>
      <w:r w:rsidRPr="00C92005">
        <w:t xml:space="preserve"> Žiadateľ nemá záväzky voči štátu po lehote splatnosti; voči žiadateľovi a na majetok, ktorý je predmetom projektu, nie je vedený výkon rozhodnutia.</w:t>
      </w:r>
      <w:r w:rsidRPr="00D357BA">
        <w:t xml:space="preserve"> Preukazuje sa formou čestného vyhlásenia pri ŽoNFP, že má vysporiadané finančné vzťahy so štátnym rozpočtom, a potvrdením miestne príslušného správcu dane, nie starším ako tri mesiace, že žiadateľ nemá daňové nedoplatky a ďalšími dokladmi uvedenými v povinných prílohách žiadosti o NF</w:t>
      </w:r>
      <w:r w:rsidR="005B345A">
        <w:t>P</w:t>
      </w:r>
      <w:r w:rsidRPr="00D357BA">
        <w:t>.</w:t>
      </w:r>
    </w:p>
    <w:p w:rsidR="00CC22D1" w:rsidRPr="00C92005" w:rsidRDefault="00CC22D1" w:rsidP="0016290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/>
        <w:ind w:left="426" w:hanging="426"/>
        <w:jc w:val="both"/>
      </w:pPr>
      <w:r w:rsidRPr="00C92005">
        <w:t xml:space="preserve">Žiadateľ nemá evidované nedoplatky poistného na zdravotné poistenie, sociálne poistenie a príspevkov na starobné dôchodkové poistenie (splátkový kalendár potvrdený veriteľom sa akceptuje). </w:t>
      </w:r>
      <w:r w:rsidRPr="00D357BA">
        <w:t>Preukazuje sa pri ŽoNFP potvrdením Sociálnej poisťovne a každej zdravotnej poisťovne, nie starším ako tri mesiace.</w:t>
      </w:r>
    </w:p>
    <w:p w:rsidR="00CC22D1" w:rsidRPr="00456D2C" w:rsidRDefault="00CC22D1" w:rsidP="0016290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/>
        <w:ind w:left="426" w:hanging="426"/>
        <w:jc w:val="both"/>
      </w:pPr>
      <w:r w:rsidRPr="00456D2C">
        <w:t xml:space="preserve">Žiadateľ nie je v likvidácii; nie je voči nemu vedené konkurzné konanie; nie je v konkurze, v reštrukturalizácii a nebol voči nemu zamietnutý návrh na vyhlásenie konkurzu pre nedostatok majetku - </w:t>
      </w:r>
      <w:r w:rsidRPr="00D357BA">
        <w:t>preukazuje sa pri ŽoNFP potvrdením príslušného konkurzného súdu, nie starším ako tri mesiace;</w:t>
      </w:r>
      <w:r w:rsidRPr="00456D2C">
        <w:t xml:space="preserve"> neporušil v predchádzajúcich 3 rokoch zákaz nelegálneho zamestnávania. </w:t>
      </w:r>
      <w:r w:rsidRPr="00D357BA">
        <w:t>Preukazuje sa pri ŽoNFP potvrdením príslušného inšpektorátu práce, nie starším ako tri mesiace</w:t>
      </w:r>
      <w:r w:rsidRPr="00456D2C">
        <w:t>.</w:t>
      </w:r>
    </w:p>
    <w:p w:rsidR="00481DF7" w:rsidRPr="00880066" w:rsidRDefault="00481DF7" w:rsidP="00481DF7">
      <w:pPr>
        <w:pStyle w:val="mojNORMALNY"/>
        <w:ind w:left="720"/>
        <w:rPr>
          <w:rFonts w:ascii="Times New Roman" w:hAnsi="Times New Roman"/>
          <w:sz w:val="24"/>
          <w:szCs w:val="24"/>
        </w:rPr>
      </w:pPr>
    </w:p>
    <w:p w:rsidR="00E807F1" w:rsidRPr="00880066" w:rsidRDefault="00257FE5" w:rsidP="00162905">
      <w:pPr>
        <w:pStyle w:val="Zkladntext"/>
        <w:keepLines/>
        <w:widowControl w:val="0"/>
        <w:numPr>
          <w:ilvl w:val="0"/>
          <w:numId w:val="2"/>
        </w:numPr>
        <w:tabs>
          <w:tab w:val="left" w:pos="-2694"/>
          <w:tab w:val="left" w:pos="284"/>
        </w:tabs>
        <w:spacing w:after="0" w:line="280" w:lineRule="exact"/>
        <w:ind w:left="284" w:hanging="284"/>
        <w:jc w:val="both"/>
        <w:rPr>
          <w:b/>
          <w:sz w:val="20"/>
          <w:szCs w:val="20"/>
        </w:rPr>
      </w:pPr>
      <w:r w:rsidRPr="00880066">
        <w:rPr>
          <w:b/>
          <w:bCs/>
          <w:color w:val="000000"/>
        </w:rPr>
        <w:t>Ďalšie podmienky poskytnutia nenávratného finančného príspevku:</w:t>
      </w:r>
    </w:p>
    <w:p w:rsidR="002A19F6" w:rsidRPr="00880066" w:rsidRDefault="002A19F6" w:rsidP="00162905">
      <w:pPr>
        <w:pStyle w:val="Zkladntext3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880066">
        <w:rPr>
          <w:bCs/>
          <w:sz w:val="24"/>
          <w:szCs w:val="24"/>
        </w:rPr>
        <w:t xml:space="preserve">ŽoNFP sa prijímajú na predpísanom tlačive zverejnenom na webovom sídle PPA: </w:t>
      </w:r>
      <w:hyperlink r:id="rId10" w:history="1">
        <w:r w:rsidRPr="00880066">
          <w:rPr>
            <w:rStyle w:val="Hypertextovprepojenie"/>
            <w:rFonts w:ascii="Times New Roman" w:hAnsi="Times New Roman"/>
            <w:bCs/>
            <w:sz w:val="24"/>
            <w:szCs w:val="24"/>
          </w:rPr>
          <w:t>www.apa.sk</w:t>
        </w:r>
      </w:hyperlink>
      <w:r w:rsidRPr="00880066">
        <w:rPr>
          <w:bCs/>
          <w:sz w:val="24"/>
          <w:szCs w:val="24"/>
        </w:rPr>
        <w:t>.</w:t>
      </w:r>
      <w:r w:rsidRPr="00880066">
        <w:rPr>
          <w:sz w:val="24"/>
          <w:szCs w:val="24"/>
        </w:rPr>
        <w:t xml:space="preserve"> Pre vypracovanie ŽoNFP a pre ich administráciu platia ustanovenia uvedené v tejto </w:t>
      </w:r>
      <w:r w:rsidR="006344A8" w:rsidRPr="00880066">
        <w:rPr>
          <w:sz w:val="24"/>
          <w:szCs w:val="24"/>
          <w:lang w:val="cs-CZ" w:eastAsia="x-none"/>
        </w:rPr>
        <w:t>P</w:t>
      </w:r>
      <w:r w:rsidRPr="00880066">
        <w:rPr>
          <w:sz w:val="24"/>
          <w:szCs w:val="24"/>
        </w:rPr>
        <w:t xml:space="preserve">ríručke. </w:t>
      </w:r>
    </w:p>
    <w:p w:rsidR="002A19F6" w:rsidRPr="00880066" w:rsidRDefault="002A19F6" w:rsidP="00162905">
      <w:pPr>
        <w:pStyle w:val="Zkladntext3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880066">
        <w:rPr>
          <w:sz w:val="24"/>
          <w:szCs w:val="24"/>
        </w:rPr>
        <w:t>Prípadné zmeny informácií zverejnených vo výzve alebo v </w:t>
      </w:r>
      <w:r w:rsidR="006344A8" w:rsidRPr="00880066">
        <w:rPr>
          <w:sz w:val="24"/>
          <w:szCs w:val="24"/>
          <w:lang w:val="cs-CZ" w:eastAsia="x-none"/>
        </w:rPr>
        <w:t>P</w:t>
      </w:r>
      <w:r w:rsidRPr="00880066">
        <w:rPr>
          <w:sz w:val="24"/>
          <w:szCs w:val="24"/>
        </w:rPr>
        <w:t xml:space="preserve">ríručke počas zverejnenia výzvy sa môžu týkať len výkladu a vysvetlenia informácií uvedených vo výzve alebo </w:t>
      </w:r>
      <w:r w:rsidR="006344A8" w:rsidRPr="00880066">
        <w:rPr>
          <w:sz w:val="24"/>
          <w:szCs w:val="24"/>
          <w:lang w:val="cs-CZ" w:eastAsia="x-none"/>
        </w:rPr>
        <w:t>P</w:t>
      </w:r>
      <w:r w:rsidRPr="00880066">
        <w:rPr>
          <w:sz w:val="24"/>
          <w:szCs w:val="24"/>
        </w:rPr>
        <w:t xml:space="preserve">ríručke. Zmeny budú zverejňované formou </w:t>
      </w:r>
      <w:r w:rsidRPr="00880066">
        <w:rPr>
          <w:b/>
          <w:sz w:val="24"/>
          <w:szCs w:val="24"/>
        </w:rPr>
        <w:t>oznámenia</w:t>
      </w:r>
      <w:r w:rsidRPr="00880066">
        <w:rPr>
          <w:sz w:val="24"/>
          <w:szCs w:val="24"/>
        </w:rPr>
        <w:t xml:space="preserve"> </w:t>
      </w:r>
      <w:r w:rsidRPr="00880066">
        <w:rPr>
          <w:bCs/>
          <w:sz w:val="24"/>
          <w:szCs w:val="24"/>
        </w:rPr>
        <w:t xml:space="preserve">na webovom sídle PPA: </w:t>
      </w:r>
      <w:hyperlink r:id="rId11" w:history="1">
        <w:r w:rsidRPr="00880066">
          <w:rPr>
            <w:sz w:val="24"/>
            <w:szCs w:val="24"/>
          </w:rPr>
          <w:t>www.apa.sk</w:t>
        </w:r>
      </w:hyperlink>
      <w:r w:rsidRPr="00880066">
        <w:rPr>
          <w:sz w:val="24"/>
          <w:szCs w:val="24"/>
        </w:rPr>
        <w:t xml:space="preserve">. </w:t>
      </w:r>
    </w:p>
    <w:p w:rsidR="00A401B1" w:rsidRPr="00880066" w:rsidRDefault="00A401B1" w:rsidP="00162905">
      <w:pPr>
        <w:pStyle w:val="Zkladntext3"/>
        <w:numPr>
          <w:ilvl w:val="0"/>
          <w:numId w:val="2"/>
        </w:numPr>
        <w:spacing w:before="120"/>
        <w:jc w:val="both"/>
        <w:rPr>
          <w:b/>
          <w:sz w:val="24"/>
          <w:szCs w:val="24"/>
          <w:lang w:eastAsia="x-none"/>
        </w:rPr>
      </w:pPr>
      <w:r w:rsidRPr="00880066">
        <w:rPr>
          <w:sz w:val="24"/>
          <w:szCs w:val="24"/>
          <w:lang w:eastAsia="x-none"/>
        </w:rPr>
        <w:t xml:space="preserve">ŽoNFP sa podáva počas lehoty uvedenej v tejto výzve. PPA prijíma </w:t>
      </w:r>
      <w:r w:rsidR="006344A8" w:rsidRPr="00880066">
        <w:rPr>
          <w:sz w:val="24"/>
          <w:szCs w:val="24"/>
          <w:lang w:eastAsia="x-none"/>
        </w:rPr>
        <w:t xml:space="preserve">kompletné </w:t>
      </w:r>
      <w:r w:rsidRPr="00880066">
        <w:rPr>
          <w:sz w:val="24"/>
          <w:szCs w:val="24"/>
          <w:lang w:eastAsia="x-none"/>
        </w:rPr>
        <w:t xml:space="preserve">ŽoNFP poštou </w:t>
      </w:r>
      <w:r w:rsidR="00C63C60" w:rsidRPr="00880066">
        <w:rPr>
          <w:sz w:val="24"/>
          <w:szCs w:val="24"/>
          <w:lang w:eastAsia="x-none"/>
        </w:rPr>
        <w:t xml:space="preserve">alebo priamo v podateľni PPA </w:t>
      </w:r>
      <w:r w:rsidRPr="00880066">
        <w:rPr>
          <w:sz w:val="24"/>
          <w:szCs w:val="24"/>
          <w:lang w:eastAsia="x-none"/>
        </w:rPr>
        <w:t xml:space="preserve">na adrese : </w:t>
      </w:r>
      <w:r w:rsidR="00C63C60" w:rsidRPr="00880066">
        <w:rPr>
          <w:b/>
          <w:sz w:val="24"/>
          <w:szCs w:val="24"/>
          <w:lang w:eastAsia="x-none"/>
        </w:rPr>
        <w:t>Pôdohospodárska platobná agentúra, Dobrovičova 12, 815 26 Bratislava.</w:t>
      </w:r>
    </w:p>
    <w:p w:rsidR="00A401B1" w:rsidRPr="00880066" w:rsidRDefault="00A401B1" w:rsidP="00162905">
      <w:pPr>
        <w:pStyle w:val="Zkladntext3"/>
        <w:numPr>
          <w:ilvl w:val="0"/>
          <w:numId w:val="2"/>
        </w:numPr>
        <w:spacing w:before="120"/>
        <w:jc w:val="both"/>
        <w:rPr>
          <w:b/>
          <w:sz w:val="24"/>
          <w:szCs w:val="24"/>
          <w:lang w:eastAsia="x-none"/>
        </w:rPr>
      </w:pPr>
      <w:r w:rsidRPr="00880066">
        <w:rPr>
          <w:sz w:val="24"/>
          <w:szCs w:val="24"/>
          <w:lang w:eastAsia="x-none"/>
        </w:rPr>
        <w:t>ŽoNFP sa predkladá v jednom originálnom vyhotovení,  podpísaná  štatutárnym zástupcom  žiadateľa alebo  osobou úradne splnomocnenou štatutárnym orgánom žiadateľa</w:t>
      </w:r>
      <w:r w:rsidR="006344A8" w:rsidRPr="00880066">
        <w:rPr>
          <w:sz w:val="24"/>
          <w:szCs w:val="24"/>
          <w:lang w:eastAsia="x-none"/>
        </w:rPr>
        <w:t xml:space="preserve"> spolu so všetkými povinnými  prílohami </w:t>
      </w:r>
      <w:r w:rsidR="006344A8" w:rsidRPr="00880066">
        <w:rPr>
          <w:b/>
          <w:sz w:val="24"/>
          <w:szCs w:val="24"/>
          <w:lang w:eastAsia="x-none"/>
        </w:rPr>
        <w:t>v zalepenej obálke</w:t>
      </w:r>
      <w:r w:rsidR="000154B1" w:rsidRPr="00880066">
        <w:rPr>
          <w:b/>
          <w:sz w:val="24"/>
          <w:szCs w:val="24"/>
          <w:lang w:eastAsia="x-none"/>
        </w:rPr>
        <w:t>/balíku</w:t>
      </w:r>
      <w:r w:rsidR="006344A8" w:rsidRPr="00880066">
        <w:rPr>
          <w:b/>
          <w:sz w:val="24"/>
          <w:szCs w:val="24"/>
          <w:lang w:eastAsia="x-none"/>
        </w:rPr>
        <w:t xml:space="preserve"> s nápisom čísl</w:t>
      </w:r>
      <w:r w:rsidR="000154B1" w:rsidRPr="00880066">
        <w:rPr>
          <w:b/>
          <w:sz w:val="24"/>
          <w:szCs w:val="24"/>
          <w:lang w:eastAsia="x-none"/>
        </w:rPr>
        <w:t xml:space="preserve">a </w:t>
      </w:r>
      <w:r w:rsidR="006344A8" w:rsidRPr="00880066">
        <w:rPr>
          <w:b/>
          <w:sz w:val="24"/>
          <w:szCs w:val="24"/>
          <w:lang w:eastAsia="x-none"/>
        </w:rPr>
        <w:t>výzvy</w:t>
      </w:r>
      <w:r w:rsidR="001B5257">
        <w:rPr>
          <w:b/>
          <w:sz w:val="24"/>
          <w:szCs w:val="24"/>
          <w:lang w:eastAsia="x-none"/>
        </w:rPr>
        <w:t>,</w:t>
      </w:r>
      <w:r w:rsidR="001B5257" w:rsidRPr="001B5257">
        <w:rPr>
          <w:b/>
          <w:sz w:val="24"/>
          <w:szCs w:val="24"/>
          <w:lang w:eastAsia="x-none"/>
        </w:rPr>
        <w:t xml:space="preserve"> </w:t>
      </w:r>
      <w:r w:rsidR="001B5257" w:rsidRPr="00AD508E">
        <w:rPr>
          <w:b/>
          <w:sz w:val="24"/>
          <w:szCs w:val="24"/>
          <w:lang w:eastAsia="x-none"/>
        </w:rPr>
        <w:t>názvu žiadateľa</w:t>
      </w:r>
      <w:r w:rsidR="000154B1" w:rsidRPr="00AD508E">
        <w:rPr>
          <w:b/>
          <w:sz w:val="24"/>
          <w:szCs w:val="24"/>
          <w:lang w:eastAsia="x-none"/>
        </w:rPr>
        <w:t xml:space="preserve"> a názv</w:t>
      </w:r>
      <w:r w:rsidR="001B5257" w:rsidRPr="00AD508E">
        <w:rPr>
          <w:b/>
          <w:sz w:val="24"/>
          <w:szCs w:val="24"/>
          <w:lang w:eastAsia="x-none"/>
        </w:rPr>
        <w:t>u</w:t>
      </w:r>
      <w:r w:rsidR="000154B1" w:rsidRPr="00AD508E">
        <w:rPr>
          <w:b/>
          <w:sz w:val="24"/>
          <w:szCs w:val="24"/>
          <w:lang w:eastAsia="x-none"/>
        </w:rPr>
        <w:t xml:space="preserve"> opatrenia umiestnenom</w:t>
      </w:r>
      <w:r w:rsidR="000154B1" w:rsidRPr="00880066">
        <w:rPr>
          <w:b/>
          <w:sz w:val="24"/>
          <w:szCs w:val="24"/>
          <w:lang w:eastAsia="x-none"/>
        </w:rPr>
        <w:t xml:space="preserve"> v ľavom hornom rohu obálky. V pravom dolnom rohu obálky bude napísané „ Neotvárať“.</w:t>
      </w:r>
    </w:p>
    <w:p w:rsidR="00A401B1" w:rsidRPr="005270F7" w:rsidRDefault="00A401B1" w:rsidP="00162905">
      <w:pPr>
        <w:pStyle w:val="Zkladntext3"/>
        <w:numPr>
          <w:ilvl w:val="0"/>
          <w:numId w:val="2"/>
        </w:numPr>
        <w:spacing w:before="120"/>
        <w:jc w:val="both"/>
        <w:rPr>
          <w:sz w:val="24"/>
          <w:szCs w:val="24"/>
          <w:lang w:eastAsia="x-none"/>
        </w:rPr>
      </w:pPr>
      <w:r w:rsidRPr="00880066">
        <w:rPr>
          <w:sz w:val="24"/>
          <w:szCs w:val="24"/>
          <w:lang w:eastAsia="x-none"/>
        </w:rPr>
        <w:t>PPA prijíma a následne registruje len</w:t>
      </w:r>
      <w:r w:rsidRPr="00880066">
        <w:rPr>
          <w:b/>
          <w:i/>
          <w:sz w:val="24"/>
          <w:szCs w:val="24"/>
          <w:lang w:eastAsia="x-none"/>
        </w:rPr>
        <w:t xml:space="preserve"> </w:t>
      </w:r>
      <w:r w:rsidRPr="00880066">
        <w:rPr>
          <w:sz w:val="24"/>
          <w:szCs w:val="24"/>
          <w:lang w:eastAsia="x-none"/>
        </w:rPr>
        <w:t>ŽoNFP, ktoré obsahujú všetky náležitosti (</w:t>
      </w:r>
      <w:r w:rsidRPr="00880066">
        <w:rPr>
          <w:b/>
          <w:sz w:val="24"/>
          <w:szCs w:val="24"/>
          <w:lang w:eastAsia="x-none"/>
        </w:rPr>
        <w:t>povinné prílohy</w:t>
      </w:r>
      <w:r w:rsidRPr="00880066">
        <w:rPr>
          <w:sz w:val="24"/>
          <w:szCs w:val="24"/>
          <w:lang w:eastAsia="x-none"/>
        </w:rPr>
        <w:t xml:space="preserve">), </w:t>
      </w:r>
      <w:r w:rsidRPr="00880066">
        <w:rPr>
          <w:b/>
          <w:sz w:val="24"/>
          <w:szCs w:val="24"/>
          <w:lang w:eastAsia="x-none"/>
        </w:rPr>
        <w:t xml:space="preserve">uvedené v časti </w:t>
      </w:r>
      <w:r w:rsidRPr="00880066">
        <w:rPr>
          <w:b/>
          <w:smallCaps/>
          <w:sz w:val="24"/>
          <w:szCs w:val="24"/>
          <w:lang w:eastAsia="x-none"/>
        </w:rPr>
        <w:t>D. Povinné Prílohy projektu pri podaní žiadosti</w:t>
      </w:r>
      <w:r w:rsidRPr="00880066">
        <w:rPr>
          <w:sz w:val="24"/>
          <w:szCs w:val="24"/>
          <w:lang w:eastAsia="x-none"/>
        </w:rPr>
        <w:t>.</w:t>
      </w:r>
      <w:r w:rsidR="00F546B1" w:rsidRPr="00880066">
        <w:rPr>
          <w:sz w:val="24"/>
          <w:szCs w:val="24"/>
          <w:lang w:eastAsia="x-none"/>
        </w:rPr>
        <w:t xml:space="preserve"> ŽoNFP spolu s Tabuľkovou časťou projektu vo formáte Excel žiadateľ predkladá 1x v tlačenej </w:t>
      </w:r>
      <w:r w:rsidR="00F546B1" w:rsidRPr="005270F7">
        <w:rPr>
          <w:sz w:val="24"/>
          <w:szCs w:val="24"/>
          <w:lang w:eastAsia="x-none"/>
        </w:rPr>
        <w:t xml:space="preserve">a </w:t>
      </w:r>
      <w:r w:rsidR="00CC22D1" w:rsidRPr="005270F7">
        <w:rPr>
          <w:sz w:val="24"/>
          <w:szCs w:val="24"/>
          <w:lang w:eastAsia="x-none"/>
        </w:rPr>
        <w:t>1</w:t>
      </w:r>
      <w:r w:rsidR="00F546B1" w:rsidRPr="005270F7">
        <w:rPr>
          <w:sz w:val="24"/>
          <w:szCs w:val="24"/>
          <w:lang w:eastAsia="x-none"/>
        </w:rPr>
        <w:t>x v elektronickej verzii.</w:t>
      </w:r>
      <w:r w:rsidRPr="005270F7">
        <w:rPr>
          <w:sz w:val="24"/>
          <w:szCs w:val="24"/>
          <w:lang w:eastAsia="x-none"/>
        </w:rPr>
        <w:t xml:space="preserve"> Poradie predložených príloh musí súhlasiť s poradím uvedeným v zozname povinných príloh, ktorý je súčasťou formuláru ŽoNFP. </w:t>
      </w:r>
    </w:p>
    <w:p w:rsidR="000154B1" w:rsidRPr="00880066" w:rsidRDefault="000154B1" w:rsidP="00162905">
      <w:pPr>
        <w:pStyle w:val="Zkladntext3"/>
        <w:numPr>
          <w:ilvl w:val="0"/>
          <w:numId w:val="2"/>
        </w:numPr>
        <w:spacing w:before="120"/>
        <w:jc w:val="both"/>
        <w:rPr>
          <w:sz w:val="24"/>
          <w:szCs w:val="24"/>
          <w:lang w:eastAsia="x-none"/>
        </w:rPr>
      </w:pPr>
      <w:r w:rsidRPr="00880066">
        <w:rPr>
          <w:sz w:val="24"/>
          <w:szCs w:val="24"/>
          <w:lang w:eastAsia="x-none"/>
        </w:rPr>
        <w:t xml:space="preserve">Pri osobnom doručení do podateľne ústredia PPA dátum na pečiatke podateľne ústredia PPA, nesmie byť vyšší, ako dátum stanovený za posledný deň prijímania ŽoNFP na PPA. </w:t>
      </w:r>
    </w:p>
    <w:p w:rsidR="000154B1" w:rsidRPr="00880066" w:rsidRDefault="000154B1" w:rsidP="00162905">
      <w:pPr>
        <w:pStyle w:val="Zkladntext3"/>
        <w:numPr>
          <w:ilvl w:val="0"/>
          <w:numId w:val="2"/>
        </w:numPr>
        <w:spacing w:before="120"/>
        <w:jc w:val="both"/>
        <w:rPr>
          <w:sz w:val="24"/>
          <w:szCs w:val="24"/>
          <w:lang w:eastAsia="x-none"/>
        </w:rPr>
      </w:pPr>
      <w:r w:rsidRPr="00880066">
        <w:rPr>
          <w:sz w:val="24"/>
          <w:szCs w:val="24"/>
          <w:lang w:eastAsia="x-none"/>
        </w:rPr>
        <w:t>Pri doručení poštou je rozhodujúci dátum pečiatky pošty na obálke/balíku. Dátum  poštovej  pečiatk</w:t>
      </w:r>
      <w:r w:rsidR="000A1FD2" w:rsidRPr="00880066">
        <w:rPr>
          <w:sz w:val="24"/>
          <w:szCs w:val="24"/>
          <w:lang w:eastAsia="x-none"/>
        </w:rPr>
        <w:t>y</w:t>
      </w:r>
      <w:r w:rsidRPr="00880066">
        <w:rPr>
          <w:sz w:val="24"/>
          <w:szCs w:val="24"/>
          <w:lang w:eastAsia="x-none"/>
        </w:rPr>
        <w:t xml:space="preserve"> nesmie byť vyšší, ako dátum stanovený za posledný deň prijímania ŽoNFP na PPA. PPA akceptuje uvedený dátum iba v prípade, </w:t>
      </w:r>
      <w:r w:rsidR="00BB54C8" w:rsidRPr="00880066">
        <w:rPr>
          <w:sz w:val="24"/>
          <w:szCs w:val="24"/>
          <w:lang w:eastAsia="x-none"/>
        </w:rPr>
        <w:t>ak</w:t>
      </w:r>
      <w:r w:rsidRPr="00880066">
        <w:rPr>
          <w:sz w:val="24"/>
          <w:szCs w:val="24"/>
          <w:lang w:eastAsia="x-none"/>
        </w:rPr>
        <w:t xml:space="preserve"> takto podaná ŽoNFP </w:t>
      </w:r>
      <w:r w:rsidR="00BB54C8" w:rsidRPr="00880066">
        <w:rPr>
          <w:sz w:val="24"/>
          <w:szCs w:val="24"/>
          <w:lang w:eastAsia="x-none"/>
        </w:rPr>
        <w:t xml:space="preserve">bola </w:t>
      </w:r>
      <w:r w:rsidRPr="00880066">
        <w:rPr>
          <w:sz w:val="24"/>
          <w:szCs w:val="24"/>
          <w:lang w:eastAsia="x-none"/>
        </w:rPr>
        <w:t>prijatá podateľňou ústredia PPA najneskôr do 10</w:t>
      </w:r>
      <w:r w:rsidR="00BB54C8" w:rsidRPr="00880066">
        <w:rPr>
          <w:sz w:val="24"/>
          <w:szCs w:val="24"/>
          <w:lang w:eastAsia="x-none"/>
        </w:rPr>
        <w:t xml:space="preserve">-teho </w:t>
      </w:r>
      <w:r w:rsidRPr="00880066">
        <w:rPr>
          <w:sz w:val="24"/>
          <w:szCs w:val="24"/>
          <w:lang w:eastAsia="x-none"/>
        </w:rPr>
        <w:t xml:space="preserve"> kalendárneho dňa (vrátane</w:t>
      </w:r>
      <w:r w:rsidR="00BB54C8" w:rsidRPr="00880066">
        <w:rPr>
          <w:sz w:val="24"/>
          <w:szCs w:val="24"/>
          <w:lang w:eastAsia="x-none"/>
        </w:rPr>
        <w:t xml:space="preserve"> dňa podania ŽoNFP na pošte</w:t>
      </w:r>
      <w:r w:rsidRPr="00880066">
        <w:rPr>
          <w:sz w:val="24"/>
          <w:szCs w:val="24"/>
          <w:lang w:eastAsia="x-none"/>
        </w:rPr>
        <w:t>) od dátumu stanoveného ako posledný deň prijímania ŽoNFP.</w:t>
      </w:r>
    </w:p>
    <w:p w:rsidR="000154B1" w:rsidRDefault="00BB54C8" w:rsidP="00162905">
      <w:pPr>
        <w:pStyle w:val="Zkladntext3"/>
        <w:numPr>
          <w:ilvl w:val="0"/>
          <w:numId w:val="2"/>
        </w:numPr>
        <w:spacing w:before="120"/>
        <w:jc w:val="both"/>
        <w:rPr>
          <w:sz w:val="24"/>
          <w:szCs w:val="24"/>
          <w:lang w:eastAsia="x-none"/>
        </w:rPr>
      </w:pPr>
      <w:r w:rsidRPr="00880066">
        <w:rPr>
          <w:sz w:val="24"/>
          <w:szCs w:val="24"/>
          <w:lang w:eastAsia="x-none"/>
        </w:rPr>
        <w:t>ŽoNFP doručené na PPA po uvedených termínoch budú  žiadateľovi vrátené späť.</w:t>
      </w:r>
    </w:p>
    <w:p w:rsidR="001619A9" w:rsidRPr="001619A9" w:rsidRDefault="001619A9" w:rsidP="00162905">
      <w:pPr>
        <w:pStyle w:val="Zarkazkladnhotextu3"/>
        <w:numPr>
          <w:ilvl w:val="0"/>
          <w:numId w:val="2"/>
        </w:numPr>
        <w:spacing w:before="120" w:after="0"/>
        <w:jc w:val="both"/>
        <w:rPr>
          <w:sz w:val="24"/>
          <w:szCs w:val="24"/>
        </w:rPr>
      </w:pPr>
      <w:r w:rsidRPr="001619A9">
        <w:rPr>
          <w:sz w:val="24"/>
          <w:szCs w:val="24"/>
          <w:lang w:eastAsia="x-none"/>
        </w:rPr>
        <w:t xml:space="preserve">Výber ŽoNFP je v kompetencii PPA. Do výberu sa zaraďujú len ŽoNFP, ktoré spĺňajú podmienky poskytnutia podpory určené v Príručke a vo výzve. Pri výbere ŽoNFP sa bude postupovať podľa dátumu a hodiny doručenia do podateľne PPA. V prípade pretlaku ŽoNFP budú uprednostnené ŽoNFP podané skôr. </w:t>
      </w:r>
    </w:p>
    <w:p w:rsidR="00A401B1" w:rsidRPr="00880066" w:rsidRDefault="00A401B1" w:rsidP="001619A9">
      <w:pPr>
        <w:pStyle w:val="Zkladntext3"/>
        <w:numPr>
          <w:ilvl w:val="0"/>
          <w:numId w:val="2"/>
        </w:numPr>
        <w:spacing w:before="120" w:after="0"/>
        <w:ind w:left="714" w:hanging="357"/>
        <w:jc w:val="both"/>
        <w:rPr>
          <w:sz w:val="24"/>
          <w:szCs w:val="24"/>
          <w:lang w:eastAsia="x-none"/>
        </w:rPr>
      </w:pPr>
      <w:r w:rsidRPr="00880066">
        <w:rPr>
          <w:sz w:val="24"/>
          <w:szCs w:val="24"/>
          <w:lang w:eastAsia="x-none"/>
        </w:rPr>
        <w:t xml:space="preserve">PPA si vyhradzuje právo dodatočného vyžiadania </w:t>
      </w:r>
      <w:r w:rsidRPr="00880066">
        <w:rPr>
          <w:b/>
          <w:sz w:val="24"/>
          <w:szCs w:val="24"/>
          <w:lang w:eastAsia="x-none"/>
        </w:rPr>
        <w:t>ďalších informácií</w:t>
      </w:r>
      <w:r w:rsidRPr="00880066">
        <w:rPr>
          <w:sz w:val="24"/>
          <w:szCs w:val="24"/>
          <w:lang w:eastAsia="x-none"/>
        </w:rPr>
        <w:t xml:space="preserve"> (objasnenia nezrovnalostí) od konečného prijímateľa/žiadateľa v závislosti od charakteru projektu. Lehota na predloženie týchto informácií bude uverejnená vo výzve na </w:t>
      </w:r>
      <w:r w:rsidR="00C63C60" w:rsidRPr="00880066">
        <w:rPr>
          <w:sz w:val="24"/>
          <w:szCs w:val="24"/>
          <w:lang w:eastAsia="x-none"/>
        </w:rPr>
        <w:t>doplnenie</w:t>
      </w:r>
      <w:r w:rsidRPr="00880066">
        <w:rPr>
          <w:sz w:val="24"/>
          <w:szCs w:val="24"/>
          <w:lang w:eastAsia="x-none"/>
        </w:rPr>
        <w:t xml:space="preserve"> ďalších informácií</w:t>
      </w:r>
      <w:r w:rsidR="002F0CD6" w:rsidRPr="00880066">
        <w:rPr>
          <w:sz w:val="24"/>
          <w:szCs w:val="24"/>
          <w:lang w:eastAsia="x-none"/>
        </w:rPr>
        <w:t xml:space="preserve"> a to </w:t>
      </w:r>
      <w:r w:rsidR="002F0CD6" w:rsidRPr="00880066">
        <w:rPr>
          <w:b/>
          <w:sz w:val="24"/>
          <w:szCs w:val="24"/>
          <w:lang w:eastAsia="x-none"/>
        </w:rPr>
        <w:t>do 10</w:t>
      </w:r>
      <w:r w:rsidR="000A1FD2" w:rsidRPr="00880066">
        <w:rPr>
          <w:b/>
          <w:sz w:val="24"/>
          <w:szCs w:val="24"/>
          <w:lang w:eastAsia="x-none"/>
        </w:rPr>
        <w:t>-tich</w:t>
      </w:r>
      <w:r w:rsidR="002F0CD6" w:rsidRPr="00880066">
        <w:rPr>
          <w:b/>
          <w:sz w:val="24"/>
          <w:szCs w:val="24"/>
          <w:lang w:eastAsia="x-none"/>
        </w:rPr>
        <w:t xml:space="preserve"> pracovných dní</w:t>
      </w:r>
      <w:r w:rsidR="002F0CD6" w:rsidRPr="00880066">
        <w:rPr>
          <w:sz w:val="24"/>
          <w:szCs w:val="24"/>
          <w:lang w:eastAsia="x-none"/>
        </w:rPr>
        <w:t xml:space="preserve"> odo dňa doručenia výzvy osobne alebo poštou</w:t>
      </w:r>
      <w:r w:rsidR="000A1FD2" w:rsidRPr="00880066">
        <w:rPr>
          <w:sz w:val="24"/>
          <w:szCs w:val="24"/>
          <w:lang w:eastAsia="x-none"/>
        </w:rPr>
        <w:t xml:space="preserve"> na adresu určenú vo výzve na doplnenie ďalších informácií</w:t>
      </w:r>
      <w:r w:rsidR="002F0CD6" w:rsidRPr="00880066">
        <w:rPr>
          <w:sz w:val="24"/>
          <w:szCs w:val="24"/>
          <w:lang w:eastAsia="x-none"/>
        </w:rPr>
        <w:t xml:space="preserve">, pričom pre posúdenie včasného doručenia chýbajúcich dokladov (údajov) platia rovnaké podmienky, ako pri prijímaní ŽoNFP. </w:t>
      </w:r>
    </w:p>
    <w:p w:rsidR="00C63C60" w:rsidRPr="00880066" w:rsidRDefault="00C63C60" w:rsidP="00420DF8">
      <w:pPr>
        <w:autoSpaceDE w:val="0"/>
        <w:autoSpaceDN w:val="0"/>
        <w:adjustRightInd w:val="0"/>
        <w:spacing w:line="280" w:lineRule="exact"/>
        <w:ind w:left="360" w:firstLine="360"/>
        <w:jc w:val="both"/>
        <w:rPr>
          <w:b/>
          <w:bCs/>
        </w:rPr>
      </w:pPr>
    </w:p>
    <w:p w:rsidR="00420DF8" w:rsidRPr="00880066" w:rsidRDefault="00420DF8" w:rsidP="00162905">
      <w:pPr>
        <w:numPr>
          <w:ilvl w:val="0"/>
          <w:numId w:val="9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</w:rPr>
      </w:pPr>
      <w:r w:rsidRPr="00880066">
        <w:rPr>
          <w:b/>
          <w:bCs/>
        </w:rPr>
        <w:t>Upozornenie:</w:t>
      </w:r>
    </w:p>
    <w:p w:rsidR="009E5458" w:rsidRPr="005270F7" w:rsidRDefault="009E5458" w:rsidP="00162905">
      <w:pPr>
        <w:pStyle w:val="Zkladntext3"/>
        <w:keepLines/>
        <w:numPr>
          <w:ilvl w:val="1"/>
          <w:numId w:val="3"/>
        </w:numPr>
        <w:tabs>
          <w:tab w:val="clear" w:pos="1440"/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880066">
        <w:rPr>
          <w:sz w:val="24"/>
          <w:szCs w:val="24"/>
        </w:rPr>
        <w:t xml:space="preserve">Žiadateľ </w:t>
      </w:r>
      <w:r w:rsidRPr="00880066">
        <w:rPr>
          <w:b/>
          <w:sz w:val="24"/>
          <w:szCs w:val="24"/>
        </w:rPr>
        <w:t>je povinný</w:t>
      </w:r>
      <w:r w:rsidRPr="00880066">
        <w:rPr>
          <w:sz w:val="24"/>
          <w:szCs w:val="24"/>
        </w:rPr>
        <w:t xml:space="preserve"> pri obstarávaní tovarov, stavebných prác a služieb postupovať v súlade so zákonom č. 25/2006 Z.z. v znení neskorších predpisov  a </w:t>
      </w:r>
      <w:r w:rsidRPr="00880066">
        <w:rPr>
          <w:sz w:val="24"/>
          <w:szCs w:val="24"/>
          <w:lang w:val="cs-CZ" w:eastAsia="x-none"/>
        </w:rPr>
        <w:t xml:space="preserve">v súlade s </w:t>
      </w:r>
      <w:r w:rsidR="00491D75" w:rsidRPr="00880066">
        <w:rPr>
          <w:bCs/>
          <w:color w:val="000000"/>
          <w:sz w:val="24"/>
          <w:szCs w:val="24"/>
        </w:rPr>
        <w:t xml:space="preserve"> Usmernením postupu žiadateľov pri obstarávaní tovarov, stavebných prác a služieb, stanoveným v Príručke, v kapitole 4 Usmernenie postupu žiadateľov pri obstarávaní </w:t>
      </w:r>
      <w:r w:rsidR="00491D75" w:rsidRPr="005270F7">
        <w:rPr>
          <w:bCs/>
          <w:color w:val="000000"/>
          <w:sz w:val="24"/>
          <w:szCs w:val="24"/>
        </w:rPr>
        <w:t xml:space="preserve">tovarov, stavebných prác a služieb. </w:t>
      </w:r>
    </w:p>
    <w:p w:rsidR="00420DF8" w:rsidRPr="005270F7" w:rsidRDefault="00916298" w:rsidP="00162905">
      <w:pPr>
        <w:keepLines/>
        <w:numPr>
          <w:ilvl w:val="1"/>
          <w:numId w:val="3"/>
        </w:numPr>
        <w:tabs>
          <w:tab w:val="clear" w:pos="1440"/>
          <w:tab w:val="num" w:pos="567"/>
        </w:tabs>
        <w:autoSpaceDE w:val="0"/>
        <w:autoSpaceDN w:val="0"/>
        <w:spacing w:after="120" w:line="280" w:lineRule="exact"/>
        <w:ind w:left="568" w:hanging="284"/>
        <w:jc w:val="both"/>
        <w:rPr>
          <w:bCs/>
          <w:color w:val="000000"/>
        </w:rPr>
      </w:pPr>
      <w:r w:rsidRPr="005270F7">
        <w:rPr>
          <w:bCs/>
          <w:color w:val="000000"/>
          <w:lang w:val="x-none" w:eastAsia="x-none"/>
        </w:rPr>
        <w:t xml:space="preserve">Žiadatelia môžu realizovať projekt aj pred uzatvorením zmluvy o poskytnutí nenávratného finančného príspevku, najskôr však po ukončení verejného obstarávania na tovary, práce a služby, ktoré môžu žiadatelia začať realizovať najskôr v deň zverejnenia Oznámenia o prijímaní žiadostí o schválenie obsahového námetu vzdelávacej a informačnej aktivity hodnotiacou komisiou sekcie rozvoja vidieka MPRV SR na webovom sídle </w:t>
      </w:r>
      <w:hyperlink r:id="rId12" w:history="1">
        <w:r w:rsidRPr="005270F7">
          <w:rPr>
            <w:bCs/>
            <w:color w:val="000000"/>
            <w:lang w:val="x-none" w:eastAsia="x-none"/>
          </w:rPr>
          <w:t>www.mpsr.sk</w:t>
        </w:r>
      </w:hyperlink>
      <w:r w:rsidRPr="005270F7">
        <w:rPr>
          <w:bCs/>
          <w:color w:val="000000"/>
          <w:lang w:val="x-none" w:eastAsia="x-none"/>
        </w:rPr>
        <w:t>. Znášajú však riziko, že projekt na financovanie z PRV SR 2007 – 2013 im  nebude schválený.</w:t>
      </w:r>
    </w:p>
    <w:p w:rsidR="009E5458" w:rsidRPr="005270F7" w:rsidRDefault="009E5458" w:rsidP="00162905">
      <w:pPr>
        <w:pStyle w:val="Zkladntext3"/>
        <w:keepLines/>
        <w:numPr>
          <w:ilvl w:val="1"/>
          <w:numId w:val="3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70F7">
        <w:rPr>
          <w:bCs/>
          <w:color w:val="000000"/>
          <w:sz w:val="24"/>
          <w:szCs w:val="24"/>
        </w:rPr>
        <w:t>V závislosti na použitej metóde a postupe verejného obstarávania je žiadateľ povinný predložiť kompletnú dokumentáciu vzťahujúcu sa na verejné obstarávanie, ktorá tvorí súčasť povinných príloh v rámci ŽoNFP</w:t>
      </w:r>
      <w:r w:rsidRPr="005270F7">
        <w:rPr>
          <w:bCs/>
          <w:color w:val="000000"/>
          <w:sz w:val="24"/>
          <w:szCs w:val="24"/>
          <w:lang w:val="cs-CZ" w:eastAsia="x-none"/>
        </w:rPr>
        <w:t>.</w:t>
      </w:r>
    </w:p>
    <w:p w:rsidR="00420DF8" w:rsidRPr="005270F7" w:rsidRDefault="00420DF8" w:rsidP="00162905">
      <w:pPr>
        <w:pStyle w:val="Zkladntext3"/>
        <w:keepLines/>
        <w:numPr>
          <w:ilvl w:val="1"/>
          <w:numId w:val="3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5270F7">
        <w:rPr>
          <w:bCs/>
          <w:color w:val="000000"/>
          <w:sz w:val="24"/>
          <w:szCs w:val="24"/>
        </w:rPr>
        <w:t>Doklady súvisiace s obstarávaním tovarov, stavebných prác a služieb musia byť v súlade s údajmi uvedenými v</w:t>
      </w:r>
      <w:r w:rsidR="00066014" w:rsidRPr="005270F7">
        <w:rPr>
          <w:bCs/>
          <w:color w:val="000000"/>
          <w:sz w:val="24"/>
          <w:szCs w:val="24"/>
        </w:rPr>
        <w:t> projektovej dokumentácii</w:t>
      </w:r>
      <w:r w:rsidRPr="005270F7">
        <w:rPr>
          <w:bCs/>
          <w:color w:val="000000"/>
          <w:sz w:val="24"/>
          <w:szCs w:val="24"/>
        </w:rPr>
        <w:t>.</w:t>
      </w:r>
    </w:p>
    <w:p w:rsidR="009E5458" w:rsidRPr="003E4356" w:rsidRDefault="009E5458" w:rsidP="00162905">
      <w:pPr>
        <w:pStyle w:val="Zkladntext3"/>
        <w:keepLines/>
        <w:numPr>
          <w:ilvl w:val="1"/>
          <w:numId w:val="3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  <w:lang w:eastAsia="x-none"/>
        </w:rPr>
      </w:pPr>
      <w:r w:rsidRPr="005270F7">
        <w:rPr>
          <w:sz w:val="24"/>
          <w:szCs w:val="24"/>
          <w:lang w:eastAsia="x-none"/>
        </w:rPr>
        <w:t xml:space="preserve">Žiadateľ je povinný dodržiavať </w:t>
      </w:r>
      <w:r w:rsidR="003F0B1F" w:rsidRPr="005270F7">
        <w:rPr>
          <w:sz w:val="24"/>
          <w:szCs w:val="24"/>
          <w:lang w:eastAsia="x-none"/>
        </w:rPr>
        <w:t>pravidlá týkajúce sa konfliktu záujmov</w:t>
      </w:r>
      <w:r w:rsidRPr="005270F7">
        <w:rPr>
          <w:sz w:val="24"/>
          <w:szCs w:val="24"/>
          <w:lang w:eastAsia="x-none"/>
        </w:rPr>
        <w:t xml:space="preserve"> v súvislosti so zadávaním zákaziek  na dodanie tovaru, uskutočnenie stavebných prác</w:t>
      </w:r>
      <w:r w:rsidR="007431AA" w:rsidRPr="005270F7">
        <w:rPr>
          <w:sz w:val="24"/>
          <w:szCs w:val="24"/>
          <w:lang w:eastAsia="x-none"/>
        </w:rPr>
        <w:t>,</w:t>
      </w:r>
      <w:r w:rsidRPr="005270F7">
        <w:rPr>
          <w:sz w:val="24"/>
          <w:szCs w:val="24"/>
          <w:lang w:eastAsia="x-none"/>
        </w:rPr>
        <w:t xml:space="preserve"> poskytnut</w:t>
      </w:r>
      <w:r w:rsidR="007431AA" w:rsidRPr="005270F7">
        <w:rPr>
          <w:sz w:val="24"/>
          <w:szCs w:val="24"/>
          <w:lang w:eastAsia="x-none"/>
        </w:rPr>
        <w:t>ím</w:t>
      </w:r>
      <w:r w:rsidRPr="005270F7">
        <w:rPr>
          <w:sz w:val="24"/>
          <w:szCs w:val="24"/>
          <w:lang w:eastAsia="x-none"/>
        </w:rPr>
        <w:t xml:space="preserve"> služieb a uzatvorením zmlúv súvisiacich s týmito zákazkami</w:t>
      </w:r>
      <w:r w:rsidR="003F0B1F" w:rsidRPr="005270F7">
        <w:rPr>
          <w:sz w:val="24"/>
          <w:szCs w:val="24"/>
          <w:lang w:eastAsia="x-none"/>
        </w:rPr>
        <w:t>. Pravidlá sú podrobne uvedené v</w:t>
      </w:r>
      <w:r w:rsidR="00916298" w:rsidRPr="005270F7">
        <w:rPr>
          <w:sz w:val="24"/>
          <w:szCs w:val="24"/>
          <w:lang w:eastAsia="x-none"/>
        </w:rPr>
        <w:t xml:space="preserve"> </w:t>
      </w:r>
      <w:r w:rsidR="003F0B1F" w:rsidRPr="005270F7">
        <w:rPr>
          <w:bCs/>
          <w:color w:val="000000"/>
          <w:sz w:val="24"/>
          <w:szCs w:val="24"/>
          <w:lang w:eastAsia="x-none"/>
        </w:rPr>
        <w:t>Príručke, v</w:t>
      </w:r>
      <w:r w:rsidR="00916298" w:rsidRPr="005270F7">
        <w:rPr>
          <w:bCs/>
          <w:color w:val="000000"/>
          <w:sz w:val="24"/>
          <w:szCs w:val="24"/>
          <w:lang w:eastAsia="x-none"/>
        </w:rPr>
        <w:t xml:space="preserve"> časti </w:t>
      </w:r>
      <w:r w:rsidR="003F0B1F" w:rsidRPr="005270F7">
        <w:rPr>
          <w:bCs/>
          <w:color w:val="000000"/>
          <w:sz w:val="24"/>
          <w:szCs w:val="24"/>
          <w:lang w:eastAsia="x-none"/>
        </w:rPr>
        <w:t>– Konflikt záujmov.</w:t>
      </w:r>
    </w:p>
    <w:p w:rsidR="00420DF8" w:rsidRPr="003E4356" w:rsidRDefault="00420DF8" w:rsidP="00162905">
      <w:pPr>
        <w:pStyle w:val="Zkladntext3"/>
        <w:keepLines/>
        <w:numPr>
          <w:ilvl w:val="1"/>
          <w:numId w:val="3"/>
        </w:numPr>
        <w:tabs>
          <w:tab w:val="clear" w:pos="1440"/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E4356">
        <w:rPr>
          <w:bCs/>
          <w:color w:val="000000"/>
          <w:sz w:val="24"/>
          <w:szCs w:val="24"/>
        </w:rPr>
        <w:t>Pred podpísaním Zmluvy o poskytnutí nenávratného finančného príspevku z Programu rozvoja vidieka SR 2007 – 2013 neexistuje právny nárok na poskytnutie nenávratného finančného príspevku.</w:t>
      </w:r>
    </w:p>
    <w:p w:rsidR="00C63C60" w:rsidRPr="003E4356" w:rsidRDefault="00C63C60" w:rsidP="00162905">
      <w:pPr>
        <w:pStyle w:val="Zkladntext3"/>
        <w:keepLines/>
        <w:numPr>
          <w:ilvl w:val="1"/>
          <w:numId w:val="3"/>
        </w:numPr>
        <w:tabs>
          <w:tab w:val="clear" w:pos="1440"/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E4356">
        <w:rPr>
          <w:bCs/>
          <w:color w:val="000000"/>
          <w:sz w:val="24"/>
          <w:szCs w:val="24"/>
        </w:rPr>
        <w:t>Suma finančných prostriedkov z verejných zdrojov požadovaná žiadateľom vo formulári ŽoNFP v deň jej predloženia na PPA je konečná, a nie je možné ju v rámci procesu spracovávania dodatočne zvyšovať –  to platí aj v prípade, že sa sumy zmenia na základe obstarávania tovarov, stavebných prác a služieb.</w:t>
      </w:r>
    </w:p>
    <w:p w:rsidR="00C63C60" w:rsidRPr="003E4356" w:rsidRDefault="00C63C60" w:rsidP="00162905">
      <w:pPr>
        <w:pStyle w:val="Zkladntext3"/>
        <w:keepLines/>
        <w:numPr>
          <w:ilvl w:val="1"/>
          <w:numId w:val="3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E4356">
        <w:rPr>
          <w:bCs/>
          <w:color w:val="000000"/>
          <w:sz w:val="24"/>
          <w:szCs w:val="24"/>
        </w:rPr>
        <w:t xml:space="preserve">Neoprávnené výdavky  je žiadateľ povinný z požadovanej sumy odčleniť. </w:t>
      </w:r>
    </w:p>
    <w:p w:rsidR="00420DF8" w:rsidRPr="003E4356" w:rsidRDefault="00420DF8" w:rsidP="00D86CDA">
      <w:pPr>
        <w:pStyle w:val="Normlnywebov"/>
        <w:spacing w:before="0" w:beforeAutospacing="0" w:after="0" w:afterAutospacing="0"/>
        <w:ind w:left="180" w:firstLine="180"/>
        <w:rPr>
          <w:rFonts w:ascii="Times New Roman" w:hAnsi="Times New Roman"/>
          <w:sz w:val="24"/>
          <w:szCs w:val="22"/>
        </w:rPr>
      </w:pPr>
    </w:p>
    <w:p w:rsidR="000E31C3" w:rsidRPr="003E4356" w:rsidRDefault="000E31C3" w:rsidP="00162905">
      <w:pPr>
        <w:pStyle w:val="Zkladntext"/>
        <w:keepLines/>
        <w:widowControl w:val="0"/>
        <w:numPr>
          <w:ilvl w:val="0"/>
          <w:numId w:val="2"/>
        </w:numPr>
        <w:tabs>
          <w:tab w:val="left" w:pos="-2694"/>
          <w:tab w:val="left" w:pos="284"/>
        </w:tabs>
        <w:spacing w:after="0" w:line="280" w:lineRule="exact"/>
        <w:ind w:left="284" w:hanging="284"/>
        <w:jc w:val="both"/>
        <w:rPr>
          <w:b/>
          <w:bCs/>
          <w:color w:val="000000"/>
        </w:rPr>
      </w:pPr>
      <w:r w:rsidRPr="003E4356">
        <w:rPr>
          <w:b/>
          <w:bCs/>
          <w:color w:val="000000"/>
        </w:rPr>
        <w:t>Kontaktné údaje a spôsob komunikácie:</w:t>
      </w:r>
    </w:p>
    <w:p w:rsidR="00D86CDA" w:rsidRPr="003E4356" w:rsidRDefault="00D86CDA" w:rsidP="003F0B1F">
      <w:pPr>
        <w:pStyle w:val="Normlnywebov"/>
        <w:spacing w:before="120" w:beforeAutospacing="0" w:after="0" w:afterAutospacing="0"/>
        <w:ind w:left="357" w:firstLine="0"/>
        <w:rPr>
          <w:rFonts w:ascii="Times New Roman" w:hAnsi="Times New Roman"/>
          <w:sz w:val="24"/>
          <w:szCs w:val="22"/>
        </w:rPr>
      </w:pPr>
      <w:r w:rsidRPr="003E4356">
        <w:rPr>
          <w:rFonts w:ascii="Times New Roman" w:hAnsi="Times New Roman"/>
          <w:sz w:val="24"/>
          <w:szCs w:val="22"/>
        </w:rPr>
        <w:t xml:space="preserve">Prípadné ďalšie informácie je možné získať na tel. č. 02/52733800, e–mail: </w:t>
      </w:r>
      <w:hyperlink r:id="rId13" w:history="1">
        <w:r w:rsidRPr="003E4356">
          <w:rPr>
            <w:rStyle w:val="Hypertextovprepojenie"/>
            <w:rFonts w:ascii="Times New Roman" w:hAnsi="Times New Roman"/>
            <w:bCs/>
            <w:sz w:val="24"/>
            <w:szCs w:val="24"/>
          </w:rPr>
          <w:t>zelmira.milkova@apa.sk</w:t>
        </w:r>
      </w:hyperlink>
      <w:r w:rsidRPr="003E4356">
        <w:rPr>
          <w:rStyle w:val="Hypertextovprepojenie"/>
          <w:rFonts w:ascii="Times New Roman" w:hAnsi="Times New Roman"/>
          <w:bCs/>
          <w:sz w:val="24"/>
          <w:szCs w:val="24"/>
        </w:rPr>
        <w:t xml:space="preserve">. </w:t>
      </w:r>
      <w:r w:rsidRPr="003E4356">
        <w:rPr>
          <w:rFonts w:ascii="Times New Roman" w:hAnsi="Times New Roman"/>
          <w:sz w:val="24"/>
          <w:szCs w:val="22"/>
        </w:rPr>
        <w:t xml:space="preserve">Všetky informácie o adresách a telefónych číslach získate </w:t>
      </w:r>
      <w:r w:rsidRPr="003E4356">
        <w:rPr>
          <w:szCs w:val="22"/>
        </w:rPr>
        <w:t>na</w:t>
      </w:r>
      <w:r w:rsidRPr="003E4356">
        <w:rPr>
          <w:rStyle w:val="Hypertextovprepojenie"/>
          <w:rFonts w:ascii="Times New Roman" w:hAnsi="Times New Roman"/>
          <w:bCs/>
          <w:sz w:val="24"/>
          <w:szCs w:val="24"/>
          <w:u w:val="none"/>
        </w:rPr>
        <w:t> </w:t>
      </w:r>
      <w:hyperlink r:id="rId14" w:history="1">
        <w:r w:rsidRPr="003E4356">
          <w:rPr>
            <w:rStyle w:val="Hypertextovprepojenie"/>
            <w:rFonts w:ascii="Times New Roman" w:hAnsi="Times New Roman"/>
            <w:bCs/>
            <w:sz w:val="24"/>
            <w:szCs w:val="24"/>
          </w:rPr>
          <w:t>http://www.apa</w:t>
        </w:r>
      </w:hyperlink>
      <w:r w:rsidRPr="003E4356">
        <w:rPr>
          <w:bCs/>
          <w:u w:val="single"/>
        </w:rPr>
        <w:t>.</w:t>
      </w:r>
      <w:r w:rsidRPr="003E4356">
        <w:rPr>
          <w:rStyle w:val="Hypertextovprepojenie"/>
          <w:rFonts w:ascii="Times New Roman" w:hAnsi="Times New Roman"/>
          <w:sz w:val="24"/>
          <w:szCs w:val="24"/>
        </w:rPr>
        <w:t>sk</w:t>
      </w:r>
      <w:r w:rsidRPr="003E4356">
        <w:rPr>
          <w:rFonts w:ascii="Times New Roman" w:hAnsi="Times New Roman"/>
          <w:sz w:val="24"/>
          <w:szCs w:val="22"/>
        </w:rPr>
        <w:t xml:space="preserve">. Žiadosti o poskytnutie informácií v zmysle zákona č. 211/2000 Z. z. o slobodnom prístupe k informáciám a o zmene a doplnení niektorých zákonov v znení neskorších predpisov adresujte na kanceláriu generálneho riaditeľa PPA, Dobrovičova </w:t>
      </w:r>
      <w:r w:rsidR="009F3E27" w:rsidRPr="003E4356">
        <w:rPr>
          <w:rFonts w:ascii="Times New Roman" w:hAnsi="Times New Roman"/>
          <w:sz w:val="24"/>
          <w:szCs w:val="22"/>
        </w:rPr>
        <w:t>12</w:t>
      </w:r>
      <w:r w:rsidRPr="003E4356">
        <w:rPr>
          <w:rFonts w:ascii="Times New Roman" w:hAnsi="Times New Roman"/>
          <w:sz w:val="24"/>
          <w:szCs w:val="22"/>
        </w:rPr>
        <w:t>, 815 26 Bratislava. PPA bude reagovať v zmysle zákona č. 211/2000 Z. z na otázky, na ktoré je možné odpovedať informáciami zverejnenými na webov</w:t>
      </w:r>
      <w:r w:rsidR="003F0B1F" w:rsidRPr="003E4356">
        <w:rPr>
          <w:rFonts w:ascii="Times New Roman" w:hAnsi="Times New Roman"/>
          <w:sz w:val="24"/>
          <w:szCs w:val="22"/>
        </w:rPr>
        <w:t>om sídle</w:t>
      </w:r>
      <w:r w:rsidRPr="003E4356">
        <w:rPr>
          <w:rFonts w:ascii="Times New Roman" w:hAnsi="Times New Roman"/>
          <w:sz w:val="24"/>
          <w:szCs w:val="22"/>
        </w:rPr>
        <w:t xml:space="preserve"> PPA len odkazmi na príslušné zverejnené dokumenty. V procese vyhodnocovania žiadostí PPA </w:t>
      </w:r>
      <w:r w:rsidRPr="003E4356">
        <w:rPr>
          <w:rFonts w:ascii="Times New Roman" w:hAnsi="Times New Roman"/>
          <w:b/>
          <w:sz w:val="24"/>
          <w:szCs w:val="22"/>
        </w:rPr>
        <w:t>neposkytne informácie</w:t>
      </w:r>
      <w:r w:rsidRPr="003E4356">
        <w:rPr>
          <w:rFonts w:ascii="Times New Roman" w:hAnsi="Times New Roman"/>
          <w:sz w:val="24"/>
          <w:szCs w:val="22"/>
        </w:rPr>
        <w:t xml:space="preserve"> o stave vyhodnocovania žiadostí. O konečnom výsledku vyhodnotenia ŽoNFP bude žiadateľ písomne informovaný. Odpovede poskytnuté žiadateľovi telefonicky ústnou formou, pokiaľ neboli spracované do písomnej podoby, nemožno považovať za záväzné a žiadateľ sa na ne nemôže odvolať. </w:t>
      </w:r>
    </w:p>
    <w:p w:rsidR="007C12F4" w:rsidRPr="003E4356" w:rsidRDefault="007C12F4" w:rsidP="007C12F4">
      <w:pPr>
        <w:pStyle w:val="Normlnywebov"/>
        <w:spacing w:before="0" w:beforeAutospacing="0" w:after="0" w:afterAutospacing="0"/>
        <w:ind w:left="360" w:firstLine="0"/>
        <w:rPr>
          <w:rFonts w:ascii="Times New Roman" w:hAnsi="Times New Roman"/>
          <w:sz w:val="24"/>
          <w:szCs w:val="22"/>
        </w:rPr>
      </w:pPr>
    </w:p>
    <w:p w:rsidR="00D86CDA" w:rsidRPr="003E4356" w:rsidRDefault="00D86CDA" w:rsidP="00954503">
      <w:pPr>
        <w:rPr>
          <w:szCs w:val="22"/>
        </w:rPr>
      </w:pPr>
      <w:r w:rsidRPr="003E4356">
        <w:t xml:space="preserve">V Bratislave </w:t>
      </w:r>
      <w:r w:rsidR="003E4356" w:rsidRPr="00300D65">
        <w:t>1</w:t>
      </w:r>
      <w:r w:rsidR="006D5A16" w:rsidRPr="00300D65">
        <w:t>9</w:t>
      </w:r>
      <w:r w:rsidR="003E4356" w:rsidRPr="00300D65">
        <w:t>.</w:t>
      </w:r>
      <w:r w:rsidR="005270F7" w:rsidRPr="00300D65">
        <w:t>09</w:t>
      </w:r>
      <w:r w:rsidR="003E4356" w:rsidRPr="00300D65">
        <w:t>.</w:t>
      </w:r>
      <w:r w:rsidR="00EE4FF4" w:rsidRPr="00300D65">
        <w:t>201</w:t>
      </w:r>
      <w:r w:rsidR="00300D65">
        <w:t>3</w:t>
      </w:r>
      <w:r w:rsidRPr="003E4356">
        <w:t xml:space="preserve">        </w:t>
      </w:r>
      <w:r w:rsidRPr="003E4356">
        <w:rPr>
          <w:szCs w:val="22"/>
        </w:rPr>
        <w:t xml:space="preserve">                                                 </w:t>
      </w:r>
    </w:p>
    <w:p w:rsidR="007C12F4" w:rsidRPr="003E4356" w:rsidRDefault="007C12F4" w:rsidP="007C12F4">
      <w:pPr>
        <w:tabs>
          <w:tab w:val="left" w:pos="5685"/>
        </w:tabs>
        <w:ind w:left="6372"/>
        <w:rPr>
          <w:b/>
          <w:bCs/>
          <w:noProof/>
          <w:szCs w:val="22"/>
        </w:rPr>
      </w:pPr>
    </w:p>
    <w:p w:rsidR="002B16F5" w:rsidRDefault="00BB0958" w:rsidP="00806B39">
      <w:pPr>
        <w:tabs>
          <w:tab w:val="left" w:pos="5685"/>
        </w:tabs>
        <w:ind w:left="6372" w:hanging="276"/>
      </w:pPr>
      <w:r w:rsidRPr="003E4356">
        <w:rPr>
          <w:color w:val="000000"/>
        </w:rPr>
        <w:t>MVDr. Stanislav Grobár</w:t>
      </w:r>
      <w:r w:rsidR="007C12F4" w:rsidRPr="003E4356">
        <w:t xml:space="preserve"> generálny riaditeľ</w:t>
      </w:r>
    </w:p>
    <w:sectPr w:rsidR="002B16F5" w:rsidSect="00D86CDA">
      <w:footerReference w:type="default" r:id="rId15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28" w:rsidRDefault="00455C28">
      <w:r>
        <w:separator/>
      </w:r>
    </w:p>
  </w:endnote>
  <w:endnote w:type="continuationSeparator" w:id="0">
    <w:p w:rsidR="00455C28" w:rsidRDefault="0045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2F" w:rsidRDefault="0083642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F516F">
      <w:rPr>
        <w:noProof/>
      </w:rPr>
      <w:t>1</w:t>
    </w:r>
    <w:r>
      <w:fldChar w:fldCharType="end"/>
    </w:r>
  </w:p>
  <w:p w:rsidR="0083642F" w:rsidRDefault="008364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28" w:rsidRDefault="00455C28">
      <w:r>
        <w:separator/>
      </w:r>
    </w:p>
  </w:footnote>
  <w:footnote w:type="continuationSeparator" w:id="0">
    <w:p w:rsidR="00455C28" w:rsidRDefault="0045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AAA"/>
    <w:multiLevelType w:val="hybridMultilevel"/>
    <w:tmpl w:val="EF4E4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557E"/>
    <w:multiLevelType w:val="hybridMultilevel"/>
    <w:tmpl w:val="3774A73E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F28194E"/>
    <w:multiLevelType w:val="hybridMultilevel"/>
    <w:tmpl w:val="D97C0416"/>
    <w:lvl w:ilvl="0" w:tplc="6ED8B468"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B4578"/>
    <w:multiLevelType w:val="hybridMultilevel"/>
    <w:tmpl w:val="C50631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77BB"/>
    <w:multiLevelType w:val="hybridMultilevel"/>
    <w:tmpl w:val="324C0F1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0C1EB8"/>
    <w:multiLevelType w:val="hybridMultilevel"/>
    <w:tmpl w:val="4DF891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321A"/>
    <w:multiLevelType w:val="hybridMultilevel"/>
    <w:tmpl w:val="0596A2E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A528FD"/>
    <w:multiLevelType w:val="hybridMultilevel"/>
    <w:tmpl w:val="6CF69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732"/>
    <w:multiLevelType w:val="hybridMultilevel"/>
    <w:tmpl w:val="C3EA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27313"/>
    <w:multiLevelType w:val="hybridMultilevel"/>
    <w:tmpl w:val="5D2A6A16"/>
    <w:lvl w:ilvl="0" w:tplc="346ED03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8E01582"/>
    <w:multiLevelType w:val="hybridMultilevel"/>
    <w:tmpl w:val="7D520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95AE1"/>
    <w:multiLevelType w:val="hybridMultilevel"/>
    <w:tmpl w:val="FBEC3ED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59C7730">
      <w:numFmt w:val="bullet"/>
      <w:lvlText w:val="-"/>
      <w:lvlJc w:val="left"/>
      <w:pPr>
        <w:ind w:left="1440" w:hanging="360"/>
      </w:pPr>
      <w:rPr>
        <w:rFonts w:ascii="TimesNewRoman" w:eastAsia="Times New Roman" w:hAnsi="TimesNewRoman" w:hint="default"/>
        <w:i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E4E11"/>
    <w:multiLevelType w:val="hybridMultilevel"/>
    <w:tmpl w:val="5F781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84636"/>
    <w:multiLevelType w:val="hybridMultilevel"/>
    <w:tmpl w:val="5A3C0948"/>
    <w:lvl w:ilvl="0" w:tplc="7EA04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A6300"/>
    <w:multiLevelType w:val="hybridMultilevel"/>
    <w:tmpl w:val="65CE0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0A75"/>
    <w:multiLevelType w:val="hybridMultilevel"/>
    <w:tmpl w:val="B80E7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13EC"/>
    <w:multiLevelType w:val="hybridMultilevel"/>
    <w:tmpl w:val="CF4AE8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B31F1"/>
    <w:multiLevelType w:val="hybridMultilevel"/>
    <w:tmpl w:val="50A656B0"/>
    <w:lvl w:ilvl="0" w:tplc="6ED8B468"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18" w15:restartNumberingAfterBreak="0">
    <w:nsid w:val="618612A4"/>
    <w:multiLevelType w:val="hybridMultilevel"/>
    <w:tmpl w:val="B9881F72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2285B8E"/>
    <w:multiLevelType w:val="hybridMultilevel"/>
    <w:tmpl w:val="C3A641DE"/>
    <w:lvl w:ilvl="0" w:tplc="5A6C77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CA5F09"/>
    <w:multiLevelType w:val="hybridMultilevel"/>
    <w:tmpl w:val="39E096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E64AE"/>
    <w:multiLevelType w:val="hybridMultilevel"/>
    <w:tmpl w:val="9BAC8B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A329E"/>
    <w:multiLevelType w:val="hybridMultilevel"/>
    <w:tmpl w:val="BCD4B0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F841308">
      <w:start w:val="1"/>
      <w:numFmt w:val="none"/>
      <w:lvlText w:val="b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412D0"/>
    <w:multiLevelType w:val="hybridMultilevel"/>
    <w:tmpl w:val="BBB82090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6196CDB"/>
    <w:multiLevelType w:val="hybridMultilevel"/>
    <w:tmpl w:val="C1427CAE"/>
    <w:lvl w:ilvl="0" w:tplc="B19A1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  <w:rPr>
        <w:rFonts w:cs="Times New Roman"/>
      </w:rPr>
    </w:lvl>
  </w:abstractNum>
  <w:abstractNum w:abstractNumId="25" w15:restartNumberingAfterBreak="0">
    <w:nsid w:val="7F397284"/>
    <w:multiLevelType w:val="multilevel"/>
    <w:tmpl w:val="7CD218C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5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9"/>
  </w:num>
  <w:num w:numId="12">
    <w:abstractNumId w:val="23"/>
  </w:num>
  <w:num w:numId="13">
    <w:abstractNumId w:val="6"/>
  </w:num>
  <w:num w:numId="14">
    <w:abstractNumId w:val="18"/>
  </w:num>
  <w:num w:numId="15">
    <w:abstractNumId w:val="1"/>
  </w:num>
  <w:num w:numId="16">
    <w:abstractNumId w:val="19"/>
  </w:num>
  <w:num w:numId="17">
    <w:abstractNumId w:val="24"/>
  </w:num>
  <w:num w:numId="18">
    <w:abstractNumId w:val="17"/>
  </w:num>
  <w:num w:numId="19">
    <w:abstractNumId w:val="2"/>
  </w:num>
  <w:num w:numId="20">
    <w:abstractNumId w:val="10"/>
  </w:num>
  <w:num w:numId="21">
    <w:abstractNumId w:val="22"/>
  </w:num>
  <w:num w:numId="22">
    <w:abstractNumId w:val="3"/>
  </w:num>
  <w:num w:numId="23">
    <w:abstractNumId w:val="5"/>
  </w:num>
  <w:num w:numId="24">
    <w:abstractNumId w:val="16"/>
  </w:num>
  <w:num w:numId="25">
    <w:abstractNumId w:val="14"/>
  </w:num>
  <w:num w:numId="2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DA"/>
    <w:rsid w:val="000154B1"/>
    <w:rsid w:val="0002171E"/>
    <w:rsid w:val="00031F68"/>
    <w:rsid w:val="00066014"/>
    <w:rsid w:val="00080426"/>
    <w:rsid w:val="00084C71"/>
    <w:rsid w:val="00091152"/>
    <w:rsid w:val="000A1FD2"/>
    <w:rsid w:val="000A72E1"/>
    <w:rsid w:val="000C2EFE"/>
    <w:rsid w:val="000E31C3"/>
    <w:rsid w:val="000F290D"/>
    <w:rsid w:val="000F2A24"/>
    <w:rsid w:val="000F6F0E"/>
    <w:rsid w:val="001000AB"/>
    <w:rsid w:val="00117DEC"/>
    <w:rsid w:val="0015025A"/>
    <w:rsid w:val="001619A9"/>
    <w:rsid w:val="00162045"/>
    <w:rsid w:val="00162905"/>
    <w:rsid w:val="00166BEC"/>
    <w:rsid w:val="00187A22"/>
    <w:rsid w:val="001B5257"/>
    <w:rsid w:val="001E3872"/>
    <w:rsid w:val="001F1EF0"/>
    <w:rsid w:val="00206085"/>
    <w:rsid w:val="00233DCC"/>
    <w:rsid w:val="00250886"/>
    <w:rsid w:val="00257FE5"/>
    <w:rsid w:val="00282282"/>
    <w:rsid w:val="0028519F"/>
    <w:rsid w:val="0029114F"/>
    <w:rsid w:val="0029185F"/>
    <w:rsid w:val="00297916"/>
    <w:rsid w:val="002A19F6"/>
    <w:rsid w:val="002B16F5"/>
    <w:rsid w:val="002D4845"/>
    <w:rsid w:val="002D4D63"/>
    <w:rsid w:val="002D7530"/>
    <w:rsid w:val="002E699C"/>
    <w:rsid w:val="002F0CD6"/>
    <w:rsid w:val="002F3AF0"/>
    <w:rsid w:val="00300D65"/>
    <w:rsid w:val="003141DF"/>
    <w:rsid w:val="00326817"/>
    <w:rsid w:val="00342255"/>
    <w:rsid w:val="003536C6"/>
    <w:rsid w:val="0036443C"/>
    <w:rsid w:val="00372FBF"/>
    <w:rsid w:val="00373DDB"/>
    <w:rsid w:val="003A58F6"/>
    <w:rsid w:val="003B05E4"/>
    <w:rsid w:val="003B0F54"/>
    <w:rsid w:val="003B67CE"/>
    <w:rsid w:val="003C1880"/>
    <w:rsid w:val="003C444A"/>
    <w:rsid w:val="003E4356"/>
    <w:rsid w:val="003F0B1F"/>
    <w:rsid w:val="004108D7"/>
    <w:rsid w:val="00420DF8"/>
    <w:rsid w:val="00430FE2"/>
    <w:rsid w:val="00440328"/>
    <w:rsid w:val="00444602"/>
    <w:rsid w:val="00455C28"/>
    <w:rsid w:val="00456D2C"/>
    <w:rsid w:val="004644BB"/>
    <w:rsid w:val="00466C6B"/>
    <w:rsid w:val="00481DF7"/>
    <w:rsid w:val="00483832"/>
    <w:rsid w:val="00491D75"/>
    <w:rsid w:val="004A7B35"/>
    <w:rsid w:val="004C6ED1"/>
    <w:rsid w:val="00514838"/>
    <w:rsid w:val="00516777"/>
    <w:rsid w:val="00526BB9"/>
    <w:rsid w:val="005270F7"/>
    <w:rsid w:val="0053124B"/>
    <w:rsid w:val="005410E6"/>
    <w:rsid w:val="00543E8F"/>
    <w:rsid w:val="00545B8E"/>
    <w:rsid w:val="00555CFF"/>
    <w:rsid w:val="00560B46"/>
    <w:rsid w:val="00573F89"/>
    <w:rsid w:val="005A493F"/>
    <w:rsid w:val="005B345A"/>
    <w:rsid w:val="005B79F7"/>
    <w:rsid w:val="005E0169"/>
    <w:rsid w:val="005E3165"/>
    <w:rsid w:val="006045ED"/>
    <w:rsid w:val="006344A8"/>
    <w:rsid w:val="006345D1"/>
    <w:rsid w:val="00642297"/>
    <w:rsid w:val="00646160"/>
    <w:rsid w:val="006466F1"/>
    <w:rsid w:val="00676EAC"/>
    <w:rsid w:val="0069554C"/>
    <w:rsid w:val="00696EE0"/>
    <w:rsid w:val="006D5A16"/>
    <w:rsid w:val="006D5C98"/>
    <w:rsid w:val="006D7427"/>
    <w:rsid w:val="006E60D6"/>
    <w:rsid w:val="006F008D"/>
    <w:rsid w:val="00742B29"/>
    <w:rsid w:val="007431AA"/>
    <w:rsid w:val="00750D1D"/>
    <w:rsid w:val="007536AA"/>
    <w:rsid w:val="00765B13"/>
    <w:rsid w:val="0079743A"/>
    <w:rsid w:val="007975F4"/>
    <w:rsid w:val="007A6D9C"/>
    <w:rsid w:val="007B2416"/>
    <w:rsid w:val="007C12F4"/>
    <w:rsid w:val="007E24C1"/>
    <w:rsid w:val="007F01A9"/>
    <w:rsid w:val="007F2207"/>
    <w:rsid w:val="00806B39"/>
    <w:rsid w:val="0083642F"/>
    <w:rsid w:val="00846F0B"/>
    <w:rsid w:val="008705E3"/>
    <w:rsid w:val="00870D6C"/>
    <w:rsid w:val="008769D3"/>
    <w:rsid w:val="00880066"/>
    <w:rsid w:val="008A438C"/>
    <w:rsid w:val="008C57D8"/>
    <w:rsid w:val="008D1CCC"/>
    <w:rsid w:val="008E004F"/>
    <w:rsid w:val="00903A02"/>
    <w:rsid w:val="009124EC"/>
    <w:rsid w:val="00916298"/>
    <w:rsid w:val="00931796"/>
    <w:rsid w:val="0094295F"/>
    <w:rsid w:val="0094340C"/>
    <w:rsid w:val="00954503"/>
    <w:rsid w:val="00955664"/>
    <w:rsid w:val="00977C96"/>
    <w:rsid w:val="009A01D8"/>
    <w:rsid w:val="009A63DA"/>
    <w:rsid w:val="009B0AE7"/>
    <w:rsid w:val="009C7006"/>
    <w:rsid w:val="009E5458"/>
    <w:rsid w:val="009F3E27"/>
    <w:rsid w:val="00A2177B"/>
    <w:rsid w:val="00A31713"/>
    <w:rsid w:val="00A3632A"/>
    <w:rsid w:val="00A401B1"/>
    <w:rsid w:val="00A446F8"/>
    <w:rsid w:val="00A470E9"/>
    <w:rsid w:val="00A60992"/>
    <w:rsid w:val="00AA61AB"/>
    <w:rsid w:val="00AC095C"/>
    <w:rsid w:val="00AC352A"/>
    <w:rsid w:val="00AD508E"/>
    <w:rsid w:val="00AF0346"/>
    <w:rsid w:val="00AF516F"/>
    <w:rsid w:val="00B01B2A"/>
    <w:rsid w:val="00B11C5F"/>
    <w:rsid w:val="00B2127F"/>
    <w:rsid w:val="00B44EE4"/>
    <w:rsid w:val="00B57CC1"/>
    <w:rsid w:val="00B86F4A"/>
    <w:rsid w:val="00BA5373"/>
    <w:rsid w:val="00BB0958"/>
    <w:rsid w:val="00BB4EC8"/>
    <w:rsid w:val="00BB54C8"/>
    <w:rsid w:val="00BB7527"/>
    <w:rsid w:val="00BC1D05"/>
    <w:rsid w:val="00BC4386"/>
    <w:rsid w:val="00BD7CF5"/>
    <w:rsid w:val="00BE79BE"/>
    <w:rsid w:val="00C066CE"/>
    <w:rsid w:val="00C06CC3"/>
    <w:rsid w:val="00C126E8"/>
    <w:rsid w:val="00C27364"/>
    <w:rsid w:val="00C31ADC"/>
    <w:rsid w:val="00C32CB7"/>
    <w:rsid w:val="00C3760F"/>
    <w:rsid w:val="00C457DC"/>
    <w:rsid w:val="00C45FA0"/>
    <w:rsid w:val="00C61DD4"/>
    <w:rsid w:val="00C63C60"/>
    <w:rsid w:val="00C7608B"/>
    <w:rsid w:val="00C7761B"/>
    <w:rsid w:val="00C8538C"/>
    <w:rsid w:val="00C92005"/>
    <w:rsid w:val="00CA1151"/>
    <w:rsid w:val="00CA6F11"/>
    <w:rsid w:val="00CB65FF"/>
    <w:rsid w:val="00CC02FC"/>
    <w:rsid w:val="00CC22D1"/>
    <w:rsid w:val="00CD3B46"/>
    <w:rsid w:val="00CD6AB1"/>
    <w:rsid w:val="00CD706B"/>
    <w:rsid w:val="00D357BA"/>
    <w:rsid w:val="00D36A0E"/>
    <w:rsid w:val="00D42377"/>
    <w:rsid w:val="00D52C91"/>
    <w:rsid w:val="00D5561F"/>
    <w:rsid w:val="00D677BE"/>
    <w:rsid w:val="00D72DB2"/>
    <w:rsid w:val="00D822E8"/>
    <w:rsid w:val="00D86CDA"/>
    <w:rsid w:val="00D94F47"/>
    <w:rsid w:val="00DA298C"/>
    <w:rsid w:val="00DC5818"/>
    <w:rsid w:val="00DD1DB8"/>
    <w:rsid w:val="00DD2441"/>
    <w:rsid w:val="00DD3FD8"/>
    <w:rsid w:val="00DE1433"/>
    <w:rsid w:val="00E0700D"/>
    <w:rsid w:val="00E13321"/>
    <w:rsid w:val="00E167D5"/>
    <w:rsid w:val="00E20EB9"/>
    <w:rsid w:val="00E71691"/>
    <w:rsid w:val="00E807F1"/>
    <w:rsid w:val="00E9102A"/>
    <w:rsid w:val="00E94223"/>
    <w:rsid w:val="00EE4FF4"/>
    <w:rsid w:val="00EF74EA"/>
    <w:rsid w:val="00F23E3F"/>
    <w:rsid w:val="00F451ED"/>
    <w:rsid w:val="00F546B1"/>
    <w:rsid w:val="00F567C6"/>
    <w:rsid w:val="00F763EA"/>
    <w:rsid w:val="00FA3673"/>
    <w:rsid w:val="00FF2092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E592E22-BCCD-45D9-A9C1-1D2CBBD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CDA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6D5C98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6D5C98"/>
    <w:pPr>
      <w:keepNext/>
      <w:numPr>
        <w:ilvl w:val="2"/>
        <w:numId w:val="4"/>
      </w:numPr>
      <w:spacing w:before="240" w:after="60"/>
      <w:outlineLvl w:val="2"/>
    </w:pPr>
    <w:rPr>
      <w:b/>
      <w:bCs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6D5C9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qFormat/>
    <w:rsid w:val="006D5C9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6D5C9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6D5C98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6D5C9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6D5C98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D5C98"/>
    <w:rPr>
      <w:b/>
      <w:sz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D5C98"/>
    <w:rPr>
      <w:b/>
      <w:sz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D5C98"/>
    <w:rPr>
      <w:rFonts w:ascii="Calibri" w:hAnsi="Calibri"/>
      <w:b/>
      <w:sz w:val="28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D5C98"/>
    <w:rPr>
      <w:rFonts w:ascii="Calibri" w:hAnsi="Calibri"/>
      <w:b/>
      <w:i/>
      <w:sz w:val="26"/>
      <w:lang w:val="x-none" w:eastAsia="en-US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D5C98"/>
    <w:rPr>
      <w:rFonts w:ascii="Calibri" w:hAnsi="Calibri"/>
      <w:b/>
      <w:sz w:val="22"/>
      <w:lang w:val="x-none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6D5C98"/>
    <w:rPr>
      <w:rFonts w:ascii="Calibri" w:hAnsi="Calibri"/>
      <w:sz w:val="24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6D5C98"/>
    <w:rPr>
      <w:rFonts w:ascii="Calibri" w:hAnsi="Calibri"/>
      <w:i/>
      <w:sz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6D5C98"/>
    <w:rPr>
      <w:rFonts w:ascii="Cambria" w:hAnsi="Cambria"/>
      <w:sz w:val="22"/>
      <w:lang w:val="x-none" w:eastAsia="en-US"/>
    </w:rPr>
  </w:style>
  <w:style w:type="paragraph" w:styleId="Normlnywebov">
    <w:name w:val="Normal (Web)"/>
    <w:basedOn w:val="Normlny"/>
    <w:uiPriority w:val="99"/>
    <w:rsid w:val="00D86CDA"/>
    <w:pPr>
      <w:spacing w:before="100" w:beforeAutospacing="1" w:after="100" w:afterAutospacing="1"/>
      <w:ind w:firstLine="257"/>
      <w:jc w:val="both"/>
    </w:pPr>
    <w:rPr>
      <w:rFonts w:ascii="Arial" w:hAnsi="Arial"/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D86CDA"/>
    <w:pPr>
      <w:jc w:val="both"/>
    </w:pPr>
    <w:rPr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D86CDA"/>
    <w:rPr>
      <w:rFonts w:ascii="Arial" w:hAnsi="Arial"/>
      <w:color w:val="008000"/>
      <w:sz w:val="2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D86CDA"/>
    <w:pPr>
      <w:ind w:firstLine="2862"/>
    </w:pPr>
    <w:rPr>
      <w:b/>
      <w:bCs/>
      <w:noProof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86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D86CDA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">
    <w:name w:val="Char"/>
    <w:basedOn w:val="Normlny"/>
    <w:rsid w:val="00D86C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257FE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9C7006"/>
    <w:rPr>
      <w:sz w:val="16"/>
    </w:rPr>
  </w:style>
  <w:style w:type="paragraph" w:styleId="Zkladntext">
    <w:name w:val="Body Text"/>
    <w:basedOn w:val="Normlny"/>
    <w:link w:val="ZkladntextChar"/>
    <w:uiPriority w:val="99"/>
    <w:rsid w:val="00257F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57FE5"/>
    <w:rPr>
      <w:sz w:val="24"/>
      <w:lang w:val="sk-SK" w:eastAsia="sk-SK"/>
    </w:rPr>
  </w:style>
  <w:style w:type="paragraph" w:customStyle="1" w:styleId="CharCharCharCharCharChar1">
    <w:name w:val="Char Char Char Char Char Char1"/>
    <w:basedOn w:val="Normlny"/>
    <w:rsid w:val="00420D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545B8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CB65F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CB65FF"/>
    <w:rPr>
      <w:rFonts w:eastAsia="Times New Roman"/>
      <w:sz w:val="24"/>
      <w:lang w:val="x-none" w:eastAsia="en-US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CB65FF"/>
    <w:rPr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CB65FF"/>
    <w:rPr>
      <w:rFonts w:eastAsia="Times New Roman"/>
      <w:lang w:val="x-none" w:eastAsia="en-US"/>
    </w:rPr>
  </w:style>
  <w:style w:type="character" w:styleId="Odkaznapoznmkupodiarou">
    <w:name w:val="footnote reference"/>
    <w:aliases w:val="PGI Fußnote Ziffer"/>
    <w:basedOn w:val="Predvolenpsmoodseku"/>
    <w:uiPriority w:val="99"/>
    <w:unhideWhenUsed/>
    <w:rsid w:val="00CB65FF"/>
    <w:rPr>
      <w:vertAlign w:val="superscript"/>
    </w:rPr>
  </w:style>
  <w:style w:type="paragraph" w:customStyle="1" w:styleId="mojNORMALNY">
    <w:name w:val="moj NORMALNY"/>
    <w:rsid w:val="00CB65FF"/>
    <w:pPr>
      <w:jc w:val="both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CB65FF"/>
    <w:pPr>
      <w:spacing w:after="200"/>
      <w:ind w:left="720"/>
      <w:contextualSpacing/>
    </w:pPr>
    <w:rPr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372FBF"/>
    <w:pPr>
      <w:spacing w:after="200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72FBF"/>
    <w:rPr>
      <w:rFonts w:eastAsia="Times New Roman"/>
      <w:lang w:val="x-none" w:eastAsia="x-none"/>
    </w:rPr>
  </w:style>
  <w:style w:type="character" w:customStyle="1" w:styleId="CharChar14">
    <w:name w:val="Char Char14"/>
    <w:rsid w:val="005E3165"/>
    <w:rPr>
      <w:rFonts w:eastAsia="Times New Roman"/>
      <w:b/>
      <w:sz w:val="28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09115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91152"/>
    <w:rPr>
      <w:rFonts w:ascii="Tahoma" w:hAnsi="Tahoma"/>
      <w:sz w:val="16"/>
    </w:rPr>
  </w:style>
  <w:style w:type="paragraph" w:customStyle="1" w:styleId="Zkladntextb">
    <w:name w:val="Základný text.b"/>
    <w:basedOn w:val="Normlny"/>
    <w:rsid w:val="00A470E9"/>
    <w:pPr>
      <w:jc w:val="both"/>
    </w:pPr>
  </w:style>
  <w:style w:type="table" w:styleId="Mriekatabuky">
    <w:name w:val="Table Grid"/>
    <w:basedOn w:val="Normlnatabuka"/>
    <w:uiPriority w:val="39"/>
    <w:rsid w:val="00E0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rsid w:val="003C444A"/>
    <w:rPr>
      <w:sz w:val="16"/>
    </w:rPr>
  </w:style>
  <w:style w:type="paragraph" w:styleId="Zarkazkladnhotextu3">
    <w:name w:val="Body Text Indent 3"/>
    <w:basedOn w:val="Normlny"/>
    <w:link w:val="Zarkazkladnhotextu3Char"/>
    <w:uiPriority w:val="99"/>
    <w:rsid w:val="001619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1619A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elmira.milkova@ap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sr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p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sk/" TargetMode="External"/><Relationship Id="rId14" Type="http://schemas.openxmlformats.org/officeDocument/2006/relationships/hyperlink" Target="http://www.ap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169E-ACDF-4D71-B6AF-576EB0B1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4004</Words>
  <Characters>22825</Characters>
  <Application>Microsoft Office Word</Application>
  <DocSecurity>0</DocSecurity>
  <Lines>190</Lines>
  <Paragraphs>53</Paragraphs>
  <ScaleCrop>false</ScaleCrop>
  <Company>.</Company>
  <LinksUpToDate>false</LinksUpToDate>
  <CharactersWithSpaces>26776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