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DC" w:rsidRDefault="00F36ADC" w:rsidP="00D75CEF">
      <w:pPr>
        <w:jc w:val="both"/>
        <w:rPr>
          <w:rFonts w:ascii="Calibri" w:hAnsi="Calibri"/>
          <w:b/>
          <w:sz w:val="36"/>
          <w:szCs w:val="36"/>
          <w:lang w:eastAsia="en-US"/>
        </w:rPr>
      </w:pPr>
      <w:r w:rsidRPr="00F36ADC">
        <w:rPr>
          <w:rFonts w:ascii="Calibri" w:hAnsi="Calibri"/>
          <w:b/>
          <w:sz w:val="36"/>
          <w:szCs w:val="36"/>
          <w:lang w:eastAsia="en-US"/>
        </w:rPr>
        <w:t>Otázky a odpovede k podopatreniu 7.4</w:t>
      </w:r>
    </w:p>
    <w:p w:rsidR="00F36ADC" w:rsidRPr="00F36ADC" w:rsidRDefault="00F36ADC" w:rsidP="00D75CEF">
      <w:pPr>
        <w:jc w:val="both"/>
        <w:rPr>
          <w:rFonts w:ascii="Calibri" w:hAnsi="Calibri"/>
          <w:b/>
          <w:sz w:val="36"/>
          <w:szCs w:val="36"/>
          <w:lang w:eastAsia="en-US"/>
        </w:rPr>
      </w:pPr>
    </w:p>
    <w:p w:rsidR="00CB4184" w:rsidRPr="00F36ADC" w:rsidRDefault="00CB4184" w:rsidP="00D75CEF">
      <w:pPr>
        <w:jc w:val="both"/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b/>
          <w:sz w:val="22"/>
          <w:szCs w:val="22"/>
          <w:lang w:eastAsia="en-US"/>
        </w:rPr>
        <w:t>Otázka</w:t>
      </w:r>
      <w:bookmarkStart w:id="0" w:name="_GoBack"/>
      <w:bookmarkEnd w:id="0"/>
      <w:r w:rsidRPr="00F36ADC">
        <w:rPr>
          <w:rFonts w:ascii="Calibri" w:hAnsi="Calibri"/>
          <w:b/>
          <w:sz w:val="22"/>
          <w:szCs w:val="22"/>
          <w:lang w:eastAsia="en-US"/>
        </w:rPr>
        <w:t>:</w:t>
      </w:r>
      <w:r w:rsidRPr="00F36ADC">
        <w:rPr>
          <w:rFonts w:ascii="Calibri" w:hAnsi="Calibri"/>
          <w:sz w:val="22"/>
          <w:szCs w:val="22"/>
          <w:lang w:eastAsia="en-US"/>
        </w:rPr>
        <w:t xml:space="preserve"> Je možné použiť pôvodnú dokumentáciu z VO, ktorú predložili aj v rámci zrušenej výzvy 12/PRV/2015 a VO bolo vykonané po 1.12.2014? Po zrušení výzvy bolo viackrát avizované, že táto pôvodná dokumentácia bude uznaná aj v nových žiadostiach – stále platí že je možné použiť pôvodnú dokumentáciu z VO, nie?</w:t>
      </w:r>
    </w:p>
    <w:p w:rsidR="00CB4184" w:rsidRPr="00F36ADC" w:rsidRDefault="00CB4184" w:rsidP="00D75CEF">
      <w:pPr>
        <w:jc w:val="both"/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b/>
          <w:sz w:val="22"/>
          <w:szCs w:val="22"/>
          <w:lang w:eastAsia="en-US"/>
        </w:rPr>
        <w:t>Odpoveď:</w:t>
      </w:r>
      <w:r w:rsidRPr="00F36ADC">
        <w:rPr>
          <w:rFonts w:ascii="Calibri" w:hAnsi="Calibri"/>
          <w:sz w:val="22"/>
          <w:szCs w:val="22"/>
          <w:lang w:eastAsia="en-US"/>
        </w:rPr>
        <w:t xml:space="preserve"> </w:t>
      </w:r>
      <w:r w:rsidRPr="00F36ADC">
        <w:rPr>
          <w:rFonts w:ascii="Calibri" w:hAnsi="Calibri"/>
          <w:sz w:val="22"/>
          <w:szCs w:val="22"/>
          <w:lang w:eastAsia="en-US"/>
        </w:rPr>
        <w:t xml:space="preserve">Čo sa týka výdavkov, ktoré vznikli v predchádzajúcej výzve, PPA akceptuje nasledovné a to v zmysle Príručky pre žiadateľa. Príručka pre žiadateľa kapitola 4 - VŠEOBECNÉ ZÁSADY OPRÁVNENOSTI VÝDAVKOV ods. 2 hovorí: „V zmysle čl. 65 ods. 2 nariadenia 1303/2013 výdavok je oprávnený na príspevok z PRV, ak vznikol prijímateľovi a bol zaplatený medzi dátumom predloženia PRV Komisii alebo od 1. januára 2014, podľa toho, ktorý dátum nastal skôr, a 31. decembrom 2023. Okrem toho, výdavky sú oprávnené na príspevok z EPFRV vtedy, keď PPA príslušnú pomoc skutočne vyplatila v období od 1. januára 2014 do 31. decembra 2023. V súlade s čl. 60 nariadenia EP a Rady (EÚ) č. 1305/2013 o podpore rozvoja vidieka prostredníctvom EPFRV a o zrušení nariadenia Rady (ES) č. 1698/2005, s výnimkou všeobecných nákladov vymedzených v článku 45 ods. 2 písm. c) uvedeného nariadenia, sa za oprávnené budú považovať iba výdavky príjemcov pomoci, ktoré vznikli po predložení </w:t>
      </w:r>
      <w:proofErr w:type="spellStart"/>
      <w:r w:rsidRPr="00F36ADC">
        <w:rPr>
          <w:rFonts w:ascii="Calibri" w:hAnsi="Calibri"/>
          <w:sz w:val="22"/>
          <w:szCs w:val="22"/>
          <w:lang w:eastAsia="en-US"/>
        </w:rPr>
        <w:t>ŽoNFP</w:t>
      </w:r>
      <w:proofErr w:type="spellEnd"/>
      <w:r w:rsidRPr="00F36ADC">
        <w:rPr>
          <w:rFonts w:ascii="Calibri" w:hAnsi="Calibri"/>
          <w:sz w:val="22"/>
          <w:szCs w:val="22"/>
          <w:lang w:eastAsia="en-US"/>
        </w:rPr>
        <w:t xml:space="preserve"> na PPA resp. MAS, v zmysle Výzvy na predkladanie </w:t>
      </w:r>
      <w:proofErr w:type="spellStart"/>
      <w:r w:rsidRPr="00F36ADC">
        <w:rPr>
          <w:rFonts w:ascii="Calibri" w:hAnsi="Calibri"/>
          <w:sz w:val="22"/>
          <w:szCs w:val="22"/>
          <w:lang w:eastAsia="en-US"/>
        </w:rPr>
        <w:t>ŽoNFP</w:t>
      </w:r>
      <w:proofErr w:type="spellEnd"/>
      <w:r w:rsidRPr="00F36ADC">
        <w:rPr>
          <w:rFonts w:ascii="Calibri" w:hAnsi="Calibri"/>
          <w:sz w:val="22"/>
          <w:szCs w:val="22"/>
          <w:lang w:eastAsia="en-US"/>
        </w:rPr>
        <w:t xml:space="preserve"> vyhlásených PPA alebo MAS pre dané opatrenie resp. podopatrenie podľa zákona o EŠIF. Tento odsek neplatí pre operácie technickej pomoci a na všeobecné náklady vymedzené v článku 45 ods. 2 písm. c) nariadenia EP a Rady (EÚ) č. 1305/2013 o podpore rozvoja vidieka prostredníctvom EPFRV a o zrušení nariadenia Rady (ES) č. 1698/2005.“ Podľa ods. 4 Príručky sa príspevok sa neposkytne „na operácie, ktoré sa fyzicky skončili alebo úplne realizovali ešte pred predložením </w:t>
      </w:r>
      <w:proofErr w:type="spellStart"/>
      <w:r w:rsidRPr="00F36ADC">
        <w:rPr>
          <w:rFonts w:ascii="Calibri" w:hAnsi="Calibri"/>
          <w:sz w:val="22"/>
          <w:szCs w:val="22"/>
          <w:lang w:eastAsia="en-US"/>
        </w:rPr>
        <w:t>ŽoNFP</w:t>
      </w:r>
      <w:proofErr w:type="spellEnd"/>
      <w:r w:rsidRPr="00F36ADC">
        <w:rPr>
          <w:rFonts w:ascii="Calibri" w:hAnsi="Calibri"/>
          <w:sz w:val="22"/>
          <w:szCs w:val="22"/>
          <w:lang w:eastAsia="en-US"/>
        </w:rPr>
        <w:t xml:space="preserve"> prijímateľom bez ohľadu na to, či prijímateľ uhradil všetky súvisiace platby (čl. 65 ods. 6 nariadenia Európskeho parlamentu a Rady (EÚ) č. 1303/2013).“</w:t>
      </w:r>
    </w:p>
    <w:p w:rsidR="00CB4184" w:rsidRPr="00F36ADC" w:rsidRDefault="00CB4184" w:rsidP="00D75CEF">
      <w:pPr>
        <w:jc w:val="both"/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sz w:val="22"/>
          <w:szCs w:val="22"/>
          <w:lang w:eastAsia="en-US"/>
        </w:rPr>
        <w:t xml:space="preserve">V zmysle uvedeného PPA akceptuje pri dodržaní podmienky podľa ods. 4 Príručky aj výdavky na prípravné práce, pod ktorými  sa rozumejú výdavky na poplatky architektom, projektantom, inžinierom a konzultantom súvisiace s vypracovaním projektovej dokumentácie (max. 4%), výdavky za stavebný dozor (max. 1%). Výdavky na prípravné práce mohli byť vynaložené aj pred  predložením </w:t>
      </w:r>
      <w:proofErr w:type="spellStart"/>
      <w:r w:rsidRPr="00F36ADC">
        <w:rPr>
          <w:rFonts w:ascii="Calibri" w:hAnsi="Calibri"/>
          <w:sz w:val="22"/>
          <w:szCs w:val="22"/>
          <w:lang w:eastAsia="en-US"/>
        </w:rPr>
        <w:t>ŽoNFP</w:t>
      </w:r>
      <w:proofErr w:type="spellEnd"/>
      <w:r w:rsidRPr="00F36ADC">
        <w:rPr>
          <w:rFonts w:ascii="Calibri" w:hAnsi="Calibri"/>
          <w:sz w:val="22"/>
          <w:szCs w:val="22"/>
          <w:lang w:eastAsia="en-US"/>
        </w:rPr>
        <w:t xml:space="preserve"> na PPA a to v max. výške 5% z oprávnených výdavkov.</w:t>
      </w: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sz w:val="22"/>
          <w:szCs w:val="22"/>
          <w:lang w:eastAsia="en-US"/>
        </w:rPr>
        <w:t xml:space="preserve">napr. </w:t>
      </w: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sz w:val="22"/>
          <w:szCs w:val="22"/>
          <w:lang w:eastAsia="en-US"/>
        </w:rPr>
        <w:t>oprávnené výdavky (stavebné práce)                  180.000 €</w:t>
      </w: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sz w:val="22"/>
          <w:szCs w:val="22"/>
          <w:lang w:eastAsia="en-US"/>
        </w:rPr>
        <w:t>projektová dokumentácia (max 4%)                      =0,04*180000=7.200 € (maximálne)</w:t>
      </w: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sz w:val="22"/>
          <w:szCs w:val="22"/>
          <w:lang w:eastAsia="en-US"/>
        </w:rPr>
        <w:t>stavebný dozor (max 1%)                                           =0,01*180000=1.800 € (maximálne)</w:t>
      </w: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</w:p>
    <w:p w:rsidR="00CB4184" w:rsidRPr="00F36ADC" w:rsidRDefault="00CB4184" w:rsidP="00CB4184">
      <w:pPr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b/>
          <w:sz w:val="22"/>
          <w:szCs w:val="22"/>
          <w:lang w:eastAsia="en-US"/>
        </w:rPr>
        <w:t>Otázka:</w:t>
      </w:r>
      <w:r w:rsidRPr="00F36ADC">
        <w:rPr>
          <w:rFonts w:ascii="Calibri" w:hAnsi="Calibri"/>
          <w:sz w:val="22"/>
          <w:szCs w:val="22"/>
          <w:lang w:eastAsia="en-US"/>
        </w:rPr>
        <w:t xml:space="preserve"> Čo sa myslí pod pojmom </w:t>
      </w:r>
      <w:r w:rsidR="00D75CEF" w:rsidRPr="00F36ADC">
        <w:rPr>
          <w:rFonts w:ascii="Calibri" w:hAnsi="Calibri"/>
          <w:sz w:val="22"/>
          <w:szCs w:val="22"/>
          <w:lang w:eastAsia="en-US"/>
        </w:rPr>
        <w:t>malé zariadenie v aktivite 6 a je oprávneným výdavkom?</w:t>
      </w:r>
    </w:p>
    <w:p w:rsidR="00CB4184" w:rsidRPr="00F36ADC" w:rsidRDefault="00CB4184" w:rsidP="00D75CEF">
      <w:pPr>
        <w:jc w:val="both"/>
        <w:rPr>
          <w:rFonts w:ascii="Calibri" w:hAnsi="Calibri"/>
          <w:sz w:val="22"/>
          <w:szCs w:val="22"/>
          <w:lang w:eastAsia="en-US"/>
        </w:rPr>
      </w:pPr>
      <w:r w:rsidRPr="00F36ADC">
        <w:rPr>
          <w:rFonts w:ascii="Calibri" w:hAnsi="Calibri"/>
          <w:b/>
          <w:sz w:val="22"/>
          <w:szCs w:val="22"/>
          <w:lang w:eastAsia="en-US"/>
        </w:rPr>
        <w:t>Odpoveď:</w:t>
      </w:r>
      <w:r w:rsidRPr="00F36ADC">
        <w:rPr>
          <w:rFonts w:ascii="Calibri" w:hAnsi="Calibri"/>
          <w:sz w:val="22"/>
          <w:szCs w:val="22"/>
          <w:lang w:eastAsia="en-US"/>
        </w:rPr>
        <w:t xml:space="preserve"> </w:t>
      </w:r>
      <w:r w:rsidRPr="00F36ADC">
        <w:rPr>
          <w:rFonts w:ascii="Calibri" w:hAnsi="Calibri"/>
          <w:sz w:val="22"/>
          <w:szCs w:val="22"/>
          <w:lang w:eastAsia="en-US"/>
        </w:rPr>
        <w:t>V rámci aktivity 6 „investície súvisiace so zvýšením bezpečnosti, t.j., nákup prídavných zariadení na komunálnu techniku na čistenie, údržbu zelene a zimnú údržbu ciest/miestnych komunikácií a chodníkov (malé zariadenia)“ pod pojmom malé zariadenie sa definuje technika fungujúca na báze malých nakladačov (výkon medzi 20 až 60kW), čo je v súlade s vlastným materiálom PRV</w:t>
      </w:r>
      <w:r w:rsidR="00D75CEF" w:rsidRPr="00F36ADC">
        <w:rPr>
          <w:rFonts w:ascii="Calibri" w:hAnsi="Calibri"/>
          <w:sz w:val="22"/>
          <w:szCs w:val="22"/>
          <w:lang w:eastAsia="en-US"/>
        </w:rPr>
        <w:t xml:space="preserve"> a je oprávneným výdavkom.</w:t>
      </w:r>
    </w:p>
    <w:p w:rsidR="00BE5960" w:rsidRDefault="00BE5960"/>
    <w:sectPr w:rsidR="00BE59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184"/>
    <w:rsid w:val="00BE5960"/>
    <w:rsid w:val="00CB4184"/>
    <w:rsid w:val="00D75CEF"/>
    <w:rsid w:val="00F36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514581-5332-4EB3-B586-E6F41DBA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4184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96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Konečná Bernáthová Alexandra</dc:creator>
  <cp:keywords/>
  <dc:description/>
  <cp:lastModifiedBy>Konečná Bernáthová Alexandra</cp:lastModifiedBy>
  <cp:revision>2</cp:revision>
  <dcterms:created xsi:type="dcterms:W3CDTF">2017-06-30T12:13:00Z</dcterms:created>
  <dcterms:modified xsi:type="dcterms:W3CDTF">2017-06-30T12:29:00Z</dcterms:modified>
</cp:coreProperties>
</file>