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9715A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Pr="00195334" w:rsidRDefault="00994597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29715A">
        <w:rPr>
          <w:rFonts w:asciiTheme="minorHAnsi" w:hAnsiTheme="minorHAnsi"/>
          <w:b/>
          <w:color w:val="1F497D"/>
          <w:sz w:val="24"/>
        </w:rPr>
        <w:t xml:space="preserve">Predbežná informácia pre </w:t>
      </w:r>
      <w:r w:rsidR="00195334" w:rsidRPr="00195334">
        <w:rPr>
          <w:rFonts w:asciiTheme="minorHAnsi" w:hAnsiTheme="minorHAnsi"/>
          <w:b/>
          <w:color w:val="1F497D"/>
          <w:sz w:val="24"/>
        </w:rPr>
        <w:t>žiadateľov o nenávratný finančný príspevok, resp. o príspevok v zmysle čl. 105a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>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proofErr w:type="spellStart"/>
      <w:r w:rsidR="00195334" w:rsidRPr="00195334">
        <w:rPr>
          <w:rFonts w:asciiTheme="minorHAnsi" w:hAnsiTheme="minorHAnsi"/>
          <w:b/>
          <w:color w:val="1F497D"/>
          <w:sz w:val="24"/>
        </w:rPr>
        <w:t>nasl</w:t>
      </w:r>
      <w:proofErr w:type="spellEnd"/>
      <w:r w:rsidR="00195334" w:rsidRPr="00195334">
        <w:rPr>
          <w:rFonts w:asciiTheme="minorHAnsi" w:hAnsiTheme="minorHAnsi"/>
          <w:b/>
          <w:color w:val="1F497D"/>
          <w:sz w:val="24"/>
        </w:rPr>
        <w:t>. nariadenia Európskeho parlamentu a Rady (EÚ, Euratom)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 xml:space="preserve">1929/2015 z 28. októbra 2015, ktorým sa mení nariadenie (EÚ, Euratom) č. 966/2012 o rozpočtových </w:t>
      </w:r>
    </w:p>
    <w:p w:rsidR="00994597" w:rsidRPr="0029715A" w:rsidRDefault="00195334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195334">
        <w:rPr>
          <w:rFonts w:asciiTheme="minorHAnsi" w:hAnsiTheme="minorHAnsi"/>
          <w:b/>
          <w:color w:val="1F497D"/>
          <w:sz w:val="24"/>
        </w:rPr>
        <w:t>pravidlách, ktoré sa vzťahujú na všeobecný rozpočet Únie</w:t>
      </w:r>
    </w:p>
    <w:p w:rsidR="00994597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Pr="0029715A" w:rsidRDefault="00195334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Default="00F22518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Európska komisia zriadila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prevádzkuje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Systém včasného odhaľovania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rizika a vylúčených </w:t>
      </w:r>
      <w:r>
        <w:rPr>
          <w:rFonts w:asciiTheme="minorHAnsi" w:hAnsiTheme="minorHAnsi"/>
          <w:sz w:val="24"/>
          <w:szCs w:val="24"/>
        </w:rPr>
        <w:t xml:space="preserve"> </w:t>
      </w:r>
      <w:r w:rsidR="00484DD0">
        <w:rPr>
          <w:rFonts w:asciiTheme="minorHAnsi" w:hAnsiTheme="minorHAnsi"/>
          <w:sz w:val="24"/>
          <w:szCs w:val="24"/>
        </w:rPr>
        <w:t>s</w:t>
      </w:r>
      <w:bookmarkStart w:id="0" w:name="_GoBack"/>
      <w:bookmarkEnd w:id="0"/>
      <w:r w:rsidRPr="00F22518">
        <w:rPr>
          <w:rFonts w:asciiTheme="minorHAnsi" w:hAnsiTheme="minorHAnsi"/>
          <w:sz w:val="24"/>
          <w:szCs w:val="24"/>
        </w:rPr>
        <w:t>ubjektov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–</w:t>
      </w:r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The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Detection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and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(ďalej len „EDES databáza“),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aby  posilnila  ochranu finančných záujmov Európskej únie. Od 1. januára 2016 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nahrádza Systém včasného varovania  (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Warning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EWS)  a  Centrálnu  databázu  vylúčených  subjektov  (</w:t>
      </w:r>
      <w:proofErr w:type="spellStart"/>
      <w:r w:rsidRPr="00F22518">
        <w:rPr>
          <w:rFonts w:asciiTheme="minorHAnsi" w:hAnsiTheme="minorHAnsi"/>
          <w:sz w:val="24"/>
          <w:szCs w:val="24"/>
        </w:rPr>
        <w:t>Central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Database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CED).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195334" w:rsidRDefault="00F22518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Účelom EDES databázy je (1) včasné odhaľovanie rizík ohrozujúcich finančné záujmy Európskej únie; (2) vylúčenie hospodárskych subjektov, ktoré sa nachádzajú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v niektorej zo situácií vyžadujúcich vylúčenie </w:t>
      </w:r>
      <w:r>
        <w:rPr>
          <w:rFonts w:asciiTheme="minorHAnsi" w:hAnsiTheme="minorHAnsi"/>
          <w:sz w:val="24"/>
          <w:szCs w:val="24"/>
        </w:rPr>
        <w:t xml:space="preserve">z </w:t>
      </w:r>
      <w:r w:rsidRPr="00F22518">
        <w:rPr>
          <w:rFonts w:asciiTheme="minorHAnsi" w:hAnsiTheme="minorHAnsi"/>
          <w:sz w:val="24"/>
          <w:szCs w:val="24"/>
        </w:rPr>
        <w:t>možnosti prijímať akékoľvek finančné prostriedky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 uvedených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 článku  106  ods.  1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 Európskeho  parlamentu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Rady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(EÚ,  Euratom)  č.  966/2012 o rozpočtových pravidlách, ktoré sa vzťahujú na všeobecný rozpočet Únie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znení nariadenia (EÚ, Euratom)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1929/2015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(ďalej len „nariadenie o rozpočtových pravidlách“)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a (3) ukladanie </w:t>
      </w:r>
      <w:r>
        <w:rPr>
          <w:rFonts w:asciiTheme="minorHAnsi" w:hAnsiTheme="minorHAnsi"/>
          <w:sz w:val="24"/>
          <w:szCs w:val="24"/>
        </w:rPr>
        <w:t>pe</w:t>
      </w:r>
      <w:r w:rsidRPr="00F22518">
        <w:rPr>
          <w:rFonts w:asciiTheme="minorHAnsi" w:hAnsiTheme="minorHAnsi"/>
          <w:sz w:val="24"/>
          <w:szCs w:val="24"/>
        </w:rPr>
        <w:t>ňažných sankcií hospodárskym subjektom podľa článku 106 ods. 13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195334" w:rsidRDefault="00F22518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Žiadatelia o nenávrat</w:t>
      </w:r>
      <w:r>
        <w:rPr>
          <w:rFonts w:asciiTheme="minorHAnsi" w:hAnsiTheme="minorHAnsi"/>
          <w:sz w:val="24"/>
          <w:szCs w:val="24"/>
        </w:rPr>
        <w:t>n</w:t>
      </w:r>
      <w:r w:rsidRPr="00F22518">
        <w:rPr>
          <w:rFonts w:asciiTheme="minorHAnsi" w:hAnsiTheme="minorHAnsi"/>
          <w:sz w:val="24"/>
          <w:szCs w:val="24"/>
        </w:rPr>
        <w:t>ý finančný príspevok, resp.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o príspevok sú </w:t>
      </w:r>
      <w:r w:rsidR="00195334">
        <w:rPr>
          <w:rFonts w:asciiTheme="minorHAnsi" w:hAnsiTheme="minorHAnsi"/>
          <w:sz w:val="24"/>
          <w:szCs w:val="24"/>
        </w:rPr>
        <w:t>tý</w:t>
      </w:r>
      <w:r w:rsidRPr="00F22518">
        <w:rPr>
          <w:rFonts w:asciiTheme="minorHAnsi" w:hAnsiTheme="minorHAnsi"/>
          <w:sz w:val="24"/>
          <w:szCs w:val="24"/>
        </w:rPr>
        <w:t xml:space="preserve">mto informovaní, že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v prípade, ak sa ocitnú v niektorej zo situácií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uvedených v  čl. 106 ods. 1 nariadenia 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pravidlách, tak ich údaje  môžu byť registrované  v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EDES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databáze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a môžu byť oznámené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oprávneným osobám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inštitúciám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súvislosti 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možnosťou </w:t>
      </w:r>
      <w:r w:rsidR="00195334">
        <w:rPr>
          <w:rFonts w:asciiTheme="minorHAnsi" w:hAnsiTheme="minorHAnsi"/>
          <w:sz w:val="24"/>
          <w:szCs w:val="24"/>
        </w:rPr>
        <w:t>p</w:t>
      </w:r>
      <w:r w:rsidRPr="00F22518">
        <w:rPr>
          <w:rFonts w:asciiTheme="minorHAnsi" w:hAnsiTheme="minorHAnsi"/>
          <w:sz w:val="24"/>
          <w:szCs w:val="24"/>
        </w:rPr>
        <w:t>oskytnutia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finančných prostriedkov 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únie.</w:t>
      </w:r>
      <w:r w:rsidR="00195334"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29715A" w:rsidRDefault="00F22518" w:rsidP="0065722B">
      <w:pPr>
        <w:ind w:firstLine="0"/>
        <w:jc w:val="both"/>
        <w:rPr>
          <w:rFonts w:asciiTheme="minorHAnsi" w:hAnsiTheme="minorHAnsi"/>
          <w:b/>
          <w:color w:val="1F497D"/>
          <w:sz w:val="24"/>
          <w:u w:val="single"/>
        </w:rPr>
      </w:pPr>
      <w:r w:rsidRPr="00F22518">
        <w:rPr>
          <w:rFonts w:asciiTheme="minorHAnsi" w:hAnsiTheme="minorHAnsi"/>
          <w:sz w:val="24"/>
          <w:szCs w:val="24"/>
        </w:rPr>
        <w:t>Právnické  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fyzické  osoby  si  môžu zároveň  uplatňovať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svoje  práva  vyplývajúce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Európskeho parlamentu a Rady (ES) č. 45/2001 z 18. decembra 2000 o ochrane jednotlivcov so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zreteľom na spracovanie osobných údajov inštitúciami a orgánmi spoločenstva a o voľnom pohybe takýchto údajov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nariadenia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Európskeho parlamentu a Rady (EÚ) 679/2016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 27. apríla 2016 o ochrane fyzických osôb pri spracúvaní osobných údajov a o voľnom pohybe takýchto údajov, ktorým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sa zrušuje smernica 95/46/ES (všeobecné nariadenie o ochrane údajov).</w:t>
      </w:r>
    </w:p>
    <w:p w:rsidR="0029715A" w:rsidRPr="0029715A" w:rsidRDefault="0029715A" w:rsidP="0029715A">
      <w:pPr>
        <w:rPr>
          <w:rFonts w:asciiTheme="minorHAnsi" w:hAnsiTheme="minorHAnsi"/>
          <w:sz w:val="24"/>
        </w:rPr>
      </w:pPr>
    </w:p>
    <w:p w:rsidR="0029715A" w:rsidRDefault="0029715A" w:rsidP="0029715A">
      <w:pPr>
        <w:rPr>
          <w:rFonts w:asciiTheme="minorHAnsi" w:hAnsiTheme="minorHAnsi"/>
          <w:sz w:val="24"/>
        </w:rPr>
      </w:pPr>
    </w:p>
    <w:p w:rsidR="004B722B" w:rsidRPr="0029715A" w:rsidRDefault="0029715A" w:rsidP="0029715A">
      <w:pPr>
        <w:tabs>
          <w:tab w:val="left" w:pos="3310"/>
        </w:tabs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ab/>
      </w:r>
    </w:p>
    <w:sectPr w:rsidR="004B722B" w:rsidRPr="0029715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5B0D" w:rsidRDefault="00AB5B0D" w:rsidP="00994597">
      <w:r>
        <w:separator/>
      </w:r>
    </w:p>
  </w:endnote>
  <w:endnote w:type="continuationSeparator" w:id="0">
    <w:p w:rsidR="00AB5B0D" w:rsidRDefault="00AB5B0D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5B0D" w:rsidRDefault="00AB5B0D" w:rsidP="00994597">
      <w:r>
        <w:separator/>
      </w:r>
    </w:p>
  </w:footnote>
  <w:footnote w:type="continuationSeparator" w:id="0">
    <w:p w:rsidR="00AB5B0D" w:rsidRDefault="00AB5B0D" w:rsidP="00994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15A" w:rsidRPr="0029715A" w:rsidRDefault="0029715A" w:rsidP="0029715A">
    <w:pPr>
      <w:pStyle w:val="Hlavika"/>
      <w:ind w:firstLine="0"/>
      <w:rPr>
        <w:b/>
        <w:sz w:val="18"/>
      </w:rPr>
    </w:pPr>
    <w:r w:rsidRPr="0029715A">
      <w:rPr>
        <w:b/>
        <w:sz w:val="18"/>
      </w:rPr>
      <w:t>Príloha č. 3 k Výzve na predkladanie žiadostí o NFP SR 2014-2020</w:t>
    </w:r>
  </w:p>
  <w:p w:rsidR="0029715A" w:rsidRDefault="0029715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33DA3"/>
    <w:rsid w:val="00195334"/>
    <w:rsid w:val="00266442"/>
    <w:rsid w:val="0029715A"/>
    <w:rsid w:val="00484DD0"/>
    <w:rsid w:val="004B722B"/>
    <w:rsid w:val="005B7D64"/>
    <w:rsid w:val="0065423F"/>
    <w:rsid w:val="0065722B"/>
    <w:rsid w:val="00994597"/>
    <w:rsid w:val="00A77910"/>
    <w:rsid w:val="00AB5B0D"/>
    <w:rsid w:val="00C7086C"/>
    <w:rsid w:val="00C7298E"/>
    <w:rsid w:val="00E47900"/>
    <w:rsid w:val="00EB5C07"/>
    <w:rsid w:val="00EC22C3"/>
    <w:rsid w:val="00F020DD"/>
    <w:rsid w:val="00F22518"/>
    <w:rsid w:val="00F62151"/>
    <w:rsid w:val="00F73FA0"/>
    <w:rsid w:val="00FF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41D426-DE57-43B3-8B56-9211F6AC5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715A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715A"/>
    <w:rPr>
      <w:rFonts w:ascii="Calibri" w:eastAsia="Times New Roman" w:hAnsi="Calibri" w:cs="Times New Roman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225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2251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22518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225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22518"/>
    <w:rPr>
      <w:rFonts w:ascii="Calibri" w:eastAsia="Times New Roman" w:hAnsi="Calibri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25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5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3</cp:revision>
  <cp:lastPrinted>2015-11-11T09:03:00Z</cp:lastPrinted>
  <dcterms:created xsi:type="dcterms:W3CDTF">2017-11-22T12:48:00Z</dcterms:created>
  <dcterms:modified xsi:type="dcterms:W3CDTF">2017-11-22T12:55:00Z</dcterms:modified>
</cp:coreProperties>
</file>