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97" w:rsidRPr="00F816C9" w:rsidRDefault="00994597" w:rsidP="00994597">
      <w:pPr>
        <w:ind w:firstLine="0"/>
        <w:jc w:val="both"/>
      </w:pPr>
    </w:p>
    <w:p w:rsidR="00994597" w:rsidRPr="00F816C9" w:rsidRDefault="00994597" w:rsidP="00994597">
      <w:pPr>
        <w:ind w:firstLine="0"/>
        <w:jc w:val="both"/>
        <w:rPr>
          <w:b/>
          <w:color w:val="1F497D"/>
        </w:rPr>
      </w:pPr>
    </w:p>
    <w:p w:rsidR="00994597" w:rsidRPr="00F816C9" w:rsidRDefault="00994597" w:rsidP="00994597">
      <w:pPr>
        <w:ind w:firstLine="0"/>
        <w:jc w:val="both"/>
        <w:rPr>
          <w:b/>
          <w:color w:val="1F497D"/>
        </w:rPr>
      </w:pPr>
      <w:r w:rsidRPr="00F816C9">
        <w:rPr>
          <w:b/>
          <w:color w:val="1F497D"/>
        </w:rPr>
        <w:t>Predbežná informácia pre žiadateľov o nenávratný finančný príspevok/o príspevok v zmysle čl. 13 Nariadenia Komisie (ES, Euratom) č. 1302/2008 o centrálnej databáze vylúčených subjektov</w:t>
      </w:r>
    </w:p>
    <w:p w:rsidR="00994597" w:rsidRPr="00F816C9" w:rsidRDefault="00994597" w:rsidP="00994597">
      <w:pPr>
        <w:ind w:firstLine="0"/>
        <w:jc w:val="both"/>
        <w:rPr>
          <w:b/>
          <w:color w:val="1F497D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 xml:space="preserve">Komisia používa interný informačný nástroj /systém včasného varovania - Early Warning System (EWS)/, aby s cieľom chrániť finančné záujmy EÚ, označila riziká zistené v súvislosti s prijímateľmi v rámci centralizovane riadených zmlúv a grantov.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 xml:space="preserve">Okrem toho Európska komisia spravuje centrálnu databázu vylúčených subjektov /Central Exclusion Database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 xml:space="preserve">Žiadatelia o NFP, sú týmto informovaní, že v prípade, ak sa ocitnú v niektorej so situácii uvedených v: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-</w:t>
      </w:r>
      <w:r w:rsidRPr="00F816C9">
        <w:rPr>
          <w:szCs w:val="24"/>
        </w:rPr>
        <w:tab/>
        <w:t>Rozhodnutí Komisie zo 16. decembra 2008 o systéme včasného varovania (EWS) na použitie povoľujúcimi úradníkmi Komisie a výkonnými agentúrami (Ú.v. EÚ, L 344, 20.12.2008, s. 125), alebo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-</w:t>
      </w:r>
      <w:r w:rsidRPr="00F816C9">
        <w:rPr>
          <w:szCs w:val="24"/>
        </w:rPr>
        <w:tab/>
        <w:t xml:space="preserve">Nariadení Komisie z 17.12.2008 o centrálnej databáze vylúčených subjektov – CED (Ú. v. EÚ OJ L 344, 20.12.2008, s. 12), 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ind w:firstLine="0"/>
        <w:jc w:val="both"/>
        <w:rPr>
          <w:szCs w:val="24"/>
        </w:rPr>
      </w:pPr>
      <w:r w:rsidRPr="00F816C9">
        <w:rPr>
          <w:szCs w:val="24"/>
        </w:rPr>
        <w:t>ich údaje</w:t>
      </w:r>
      <w:r w:rsidRPr="00F816C9">
        <w:rPr>
          <w:rStyle w:val="Odkaznapoznmkupodiarou"/>
          <w:szCs w:val="24"/>
        </w:rPr>
        <w:footnoteReference w:id="1"/>
      </w:r>
      <w:r w:rsidRPr="00F816C9">
        <w:rPr>
          <w:szCs w:val="24"/>
        </w:rPr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 fondov EÚ, poskytnutím príspevku z fondov EÚ a priamej pomoci  z rozpočtu EÚ.</w:t>
      </w:r>
    </w:p>
    <w:p w:rsidR="00994597" w:rsidRPr="00F816C9" w:rsidRDefault="00994597" w:rsidP="00994597">
      <w:pPr>
        <w:ind w:firstLine="0"/>
        <w:jc w:val="both"/>
        <w:rPr>
          <w:szCs w:val="24"/>
        </w:rPr>
      </w:pPr>
    </w:p>
    <w:p w:rsidR="00994597" w:rsidRPr="00F816C9" w:rsidRDefault="00994597" w:rsidP="00994597">
      <w:pPr>
        <w:jc w:val="both"/>
        <w:rPr>
          <w:szCs w:val="24"/>
        </w:rPr>
      </w:pPr>
      <w:r w:rsidRPr="00F816C9">
        <w:rPr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F816C9" w:rsidRDefault="004B722B" w:rsidP="00994597">
      <w:pPr>
        <w:ind w:firstLine="0"/>
        <w:rPr>
          <w:b/>
          <w:color w:val="1F497D"/>
          <w:u w:val="single"/>
        </w:rPr>
      </w:pPr>
    </w:p>
    <w:sectPr w:rsidR="004B722B" w:rsidRPr="00F816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AEC" w:rsidRDefault="002E6AEC" w:rsidP="00994597">
      <w:r>
        <w:separator/>
      </w:r>
    </w:p>
  </w:endnote>
  <w:endnote w:type="continuationSeparator" w:id="0">
    <w:p w:rsidR="002E6AEC" w:rsidRDefault="002E6AEC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227" w:rsidRDefault="0074222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227" w:rsidRDefault="0074222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227" w:rsidRDefault="0074222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AEC" w:rsidRDefault="002E6AEC" w:rsidP="00994597">
      <w:r>
        <w:separator/>
      </w:r>
    </w:p>
  </w:footnote>
  <w:footnote w:type="continuationSeparator" w:id="0">
    <w:p w:rsidR="002E6AEC" w:rsidRDefault="002E6AEC" w:rsidP="00994597">
      <w:r>
        <w:continuationSeparator/>
      </w:r>
    </w:p>
  </w:footnote>
  <w:footnote w:id="1">
    <w:p w:rsidR="00994597" w:rsidRPr="00F816C9" w:rsidRDefault="00994597" w:rsidP="00994597">
      <w:pPr>
        <w:pStyle w:val="Textpoznmkypodiarou"/>
        <w:ind w:firstLine="0"/>
        <w:jc w:val="both"/>
        <w:rPr>
          <w:rFonts w:asciiTheme="minorHAnsi" w:hAnsiTheme="minorHAnsi"/>
        </w:rPr>
      </w:pPr>
      <w:r w:rsidRPr="00F816C9">
        <w:rPr>
          <w:rStyle w:val="Odkaznapoznmkupodiarou"/>
          <w:rFonts w:asciiTheme="minorHAnsi" w:hAnsiTheme="minorHAnsi"/>
        </w:rPr>
        <w:footnoteRef/>
      </w:r>
      <w:r w:rsidRPr="00F816C9">
        <w:rPr>
          <w:rFonts w:asciiTheme="minorHAnsi" w:hAnsiTheme="minorHAnsi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227" w:rsidRDefault="0074222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DE4" w:rsidRPr="00AC2B7B" w:rsidRDefault="00E00DE4" w:rsidP="00E00DE4">
    <w:pPr>
      <w:pStyle w:val="Hlavika"/>
      <w:ind w:firstLine="0"/>
      <w:rPr>
        <w:rFonts w:asciiTheme="minorHAnsi" w:hAnsiTheme="minorHAnsi"/>
        <w:sz w:val="18"/>
      </w:rPr>
    </w:pPr>
    <w:r w:rsidRPr="00AC2B7B">
      <w:rPr>
        <w:rFonts w:asciiTheme="minorHAnsi" w:hAnsiTheme="minorHAnsi"/>
        <w:sz w:val="16"/>
      </w:rPr>
      <w:t>Príloha č. 4 k </w:t>
    </w:r>
    <w:r w:rsidR="00742227">
      <w:rPr>
        <w:rFonts w:asciiTheme="minorHAnsi" w:hAnsiTheme="minorHAnsi"/>
        <w:sz w:val="16"/>
      </w:rPr>
      <w:t>výzve</w:t>
    </w:r>
    <w:bookmarkStart w:id="0" w:name="_GoBack"/>
    <w:bookmarkEnd w:id="0"/>
  </w:p>
  <w:p w:rsidR="00E00DE4" w:rsidRPr="00A92B61" w:rsidRDefault="00E00DE4" w:rsidP="00E00DE4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3464534F" wp14:editId="07DCBE5E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          </w:t>
    </w:r>
    <w:r w:rsidRPr="00C31558">
      <w:rPr>
        <w:noProof/>
        <w:color w:val="1F497D"/>
      </w:rPr>
      <w:drawing>
        <wp:inline distT="0" distB="0" distL="0" distR="0" wp14:anchorId="3A7FC642" wp14:editId="52E5AEF6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5075FD2A" wp14:editId="597E2061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E00DE4" w:rsidRPr="00E00DE4" w:rsidRDefault="00E00DE4" w:rsidP="00E00DE4">
    <w:pPr>
      <w:pStyle w:val="Hlavika"/>
      <w:ind w:firstLine="0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227" w:rsidRDefault="0074222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070B8F"/>
    <w:rsid w:val="00090988"/>
    <w:rsid w:val="00247019"/>
    <w:rsid w:val="002779E2"/>
    <w:rsid w:val="00296583"/>
    <w:rsid w:val="002A510A"/>
    <w:rsid w:val="002B367A"/>
    <w:rsid w:val="002E6AEC"/>
    <w:rsid w:val="0040085C"/>
    <w:rsid w:val="00401CCF"/>
    <w:rsid w:val="004B722B"/>
    <w:rsid w:val="005B0384"/>
    <w:rsid w:val="0065423F"/>
    <w:rsid w:val="00711FF9"/>
    <w:rsid w:val="00742227"/>
    <w:rsid w:val="007C0548"/>
    <w:rsid w:val="00994597"/>
    <w:rsid w:val="00AC2B7B"/>
    <w:rsid w:val="00AC46F9"/>
    <w:rsid w:val="00C7086C"/>
    <w:rsid w:val="00C7298E"/>
    <w:rsid w:val="00C9524A"/>
    <w:rsid w:val="00CE412E"/>
    <w:rsid w:val="00E00DE4"/>
    <w:rsid w:val="00F020DD"/>
    <w:rsid w:val="00F231DC"/>
    <w:rsid w:val="00F8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DD785-7BEA-42A3-8DF3-9CF5B99A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79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9E2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nhideWhenUsed/>
    <w:rsid w:val="00E00D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0DE4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00D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E4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11</cp:revision>
  <cp:lastPrinted>2016-01-25T11:48:00Z</cp:lastPrinted>
  <dcterms:created xsi:type="dcterms:W3CDTF">2016-08-24T07:32:00Z</dcterms:created>
  <dcterms:modified xsi:type="dcterms:W3CDTF">2016-11-30T10:32:00Z</dcterms:modified>
</cp:coreProperties>
</file>