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15C6" w:rsidRDefault="007C2CF9">
      <w:pPr>
        <w:pStyle w:val="Nzov"/>
        <w:tabs>
          <w:tab w:val="left" w:pos="1457"/>
          <w:tab w:val="center" w:pos="4153"/>
        </w:tabs>
        <w:jc w:val="both"/>
        <w:rPr>
          <w:rFonts w:asciiTheme="minorHAnsi" w:hAnsiTheme="minorHAnsi"/>
          <w:i/>
          <w:iCs/>
          <w:sz w:val="20"/>
        </w:rPr>
      </w:pPr>
      <w:r>
        <w:rPr>
          <w:noProof/>
          <w:lang w:eastAsia="sk-SK"/>
        </w:rPr>
        <w:drawing>
          <wp:inline distT="0" distB="0" distL="0" distR="0">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8"/>
                    <a:stretch>
                      <a:fillRect/>
                    </a:stretch>
                  </pic:blipFill>
                  <pic:spPr bwMode="auto">
                    <a:xfrm>
                      <a:off x="0" y="0"/>
                      <a:ext cx="2651125" cy="598805"/>
                    </a:xfrm>
                    <a:prstGeom prst="rect">
                      <a:avLst/>
                    </a:prstGeom>
                  </pic:spPr>
                </pic:pic>
              </a:graphicData>
            </a:graphic>
          </wp:inline>
        </w:drawing>
      </w:r>
      <w:r>
        <w:rPr>
          <w:rFonts w:asciiTheme="minorHAnsi" w:hAnsiTheme="minorHAnsi"/>
          <w:color w:val="1F497D"/>
        </w:rPr>
        <w:t xml:space="preserve">                                  </w:t>
      </w:r>
      <w:r>
        <w:rPr>
          <w:rFonts w:asciiTheme="minorHAnsi" w:hAnsiTheme="minorHAnsi"/>
          <w:noProof/>
          <w:color w:val="1F497D"/>
          <w:lang w:eastAsia="sk-SK"/>
        </w:rPr>
        <w:drawing>
          <wp:inline distT="0" distB="0" distL="0" distR="6985">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9"/>
                    <a:stretch>
                      <a:fillRect/>
                    </a:stretch>
                  </pic:blipFill>
                  <pic:spPr bwMode="auto">
                    <a:xfrm>
                      <a:off x="0" y="0"/>
                      <a:ext cx="1440815" cy="980440"/>
                    </a:xfrm>
                    <a:prstGeom prst="rect">
                      <a:avLst/>
                    </a:prstGeom>
                  </pic:spPr>
                </pic:pic>
              </a:graphicData>
            </a:graphic>
          </wp:inline>
        </w:drawing>
      </w:r>
    </w:p>
    <w:p w:rsidR="00AE15C6" w:rsidRDefault="007C2CF9">
      <w:pPr>
        <w:pStyle w:val="Hlavika"/>
        <w:jc w:val="center"/>
        <w:rPr>
          <w:rFonts w:asciiTheme="minorHAnsi" w:hAnsiTheme="minorHAnsi"/>
          <w:b/>
          <w:color w:val="000000"/>
          <w:sz w:val="15"/>
          <w:szCs w:val="15"/>
        </w:rPr>
      </w:pPr>
      <w:r>
        <w:rPr>
          <w:rFonts w:asciiTheme="minorHAnsi" w:hAnsiTheme="minorHAnsi"/>
          <w:i/>
          <w:iCs/>
          <w:sz w:val="20"/>
        </w:rPr>
        <w:t xml:space="preserve">         Pôdohospodárska platobná agentúra                                        </w:t>
      </w:r>
      <w:r>
        <w:rPr>
          <w:rFonts w:asciiTheme="minorHAnsi" w:hAnsiTheme="minorHAnsi"/>
          <w:b/>
          <w:color w:val="000000"/>
          <w:sz w:val="15"/>
          <w:szCs w:val="15"/>
        </w:rPr>
        <w:t xml:space="preserve">Európsky poľnohospodársky fond pre rozvoj vidieka: </w:t>
      </w:r>
    </w:p>
    <w:p w:rsidR="00AE15C6" w:rsidRDefault="007C2CF9">
      <w:pPr>
        <w:pStyle w:val="Nzov"/>
        <w:tabs>
          <w:tab w:val="left" w:pos="1457"/>
          <w:tab w:val="center" w:pos="4153"/>
        </w:tabs>
        <w:jc w:val="both"/>
        <w:rPr>
          <w:rFonts w:asciiTheme="minorHAnsi" w:hAnsiTheme="minorHAnsi"/>
        </w:rPr>
      </w:pPr>
      <w:r>
        <w:rPr>
          <w:rFonts w:asciiTheme="minorHAnsi" w:hAnsiTheme="minorHAnsi"/>
          <w:b w:val="0"/>
          <w:color w:val="000000"/>
          <w:sz w:val="15"/>
          <w:szCs w:val="15"/>
        </w:rPr>
        <w:t xml:space="preserve">                                                                                                                                                 Európa investuje do vidieckych oblastí </w:t>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p>
    <w:p w:rsidR="00AE15C6" w:rsidRDefault="00AE15C6">
      <w:pPr>
        <w:pStyle w:val="Normlnywebov"/>
        <w:spacing w:before="0" w:after="0"/>
        <w:jc w:val="center"/>
        <w:rPr>
          <w:rFonts w:asciiTheme="minorHAnsi" w:hAnsiTheme="minorHAnsi" w:cs="Times New Roman"/>
          <w:b/>
          <w:bCs/>
          <w:sz w:val="24"/>
          <w:szCs w:val="24"/>
        </w:rPr>
      </w:pPr>
    </w:p>
    <w:p w:rsidR="00AE15C6" w:rsidRDefault="007C2CF9">
      <w:pPr>
        <w:pStyle w:val="Normlnywebov"/>
        <w:spacing w:before="0" w:after="0"/>
        <w:jc w:val="center"/>
        <w:rPr>
          <w:rFonts w:asciiTheme="minorHAnsi" w:hAnsiTheme="minorHAnsi" w:cs="Times New Roman"/>
          <w:b/>
          <w:bCs/>
          <w:caps/>
          <w:sz w:val="24"/>
          <w:szCs w:val="24"/>
        </w:rPr>
      </w:pPr>
      <w:r>
        <w:rPr>
          <w:rFonts w:asciiTheme="minorHAnsi" w:hAnsiTheme="minorHAnsi" w:cs="Times New Roman"/>
          <w:b/>
          <w:bCs/>
          <w:sz w:val="24"/>
          <w:szCs w:val="24"/>
        </w:rPr>
        <w:t>VÝZVA NA PREDKLADANIE ŽIADOSTÍ O NENÁVRATNÝ FINANČNÝ PRÍSPEVOK</w:t>
      </w:r>
      <w:r>
        <w:rPr>
          <w:rFonts w:asciiTheme="minorHAnsi" w:hAnsiTheme="minorHAnsi" w:cs="Times New Roman"/>
          <w:b/>
          <w:bCs/>
          <w:caps/>
          <w:sz w:val="24"/>
          <w:szCs w:val="24"/>
        </w:rPr>
        <w:t xml:space="preserve"> z programu rozvoja vidieka </w:t>
      </w:r>
    </w:p>
    <w:p w:rsidR="00AE15C6" w:rsidRDefault="007C2CF9">
      <w:pPr>
        <w:pStyle w:val="Normlnywebov"/>
        <w:spacing w:before="0" w:after="0"/>
        <w:jc w:val="center"/>
        <w:rPr>
          <w:rFonts w:asciiTheme="minorHAnsi" w:hAnsiTheme="minorHAnsi" w:cs="Times New Roman"/>
          <w:b/>
          <w:bCs/>
          <w:sz w:val="24"/>
          <w:szCs w:val="24"/>
        </w:rPr>
      </w:pPr>
      <w:r>
        <w:rPr>
          <w:rFonts w:asciiTheme="minorHAnsi" w:hAnsiTheme="minorHAnsi" w:cs="Times New Roman"/>
          <w:b/>
          <w:bCs/>
          <w:caps/>
          <w:sz w:val="24"/>
          <w:szCs w:val="24"/>
        </w:rPr>
        <w:t xml:space="preserve">slovenskej republiky 2014 – 2020 </w:t>
      </w:r>
    </w:p>
    <w:p w:rsidR="00AE15C6" w:rsidRDefault="00AE15C6">
      <w:pPr>
        <w:pStyle w:val="Hlavika"/>
        <w:jc w:val="center"/>
        <w:rPr>
          <w:rFonts w:asciiTheme="minorHAnsi" w:hAnsiTheme="minorHAnsi"/>
          <w:b/>
          <w:bCs/>
        </w:rPr>
      </w:pPr>
    </w:p>
    <w:p w:rsidR="00AE15C6" w:rsidRDefault="007C2CF9">
      <w:pPr>
        <w:pStyle w:val="TextBodyIndent"/>
        <w:ind w:firstLine="257"/>
        <w:jc w:val="center"/>
        <w:rPr>
          <w:rFonts w:asciiTheme="minorHAnsi" w:hAnsiTheme="minorHAnsi"/>
          <w:sz w:val="24"/>
          <w:szCs w:val="24"/>
        </w:rPr>
      </w:pPr>
      <w:r>
        <w:rPr>
          <w:rFonts w:asciiTheme="minorHAnsi" w:hAnsiTheme="minorHAnsi"/>
          <w:b/>
          <w:sz w:val="24"/>
          <w:szCs w:val="24"/>
        </w:rPr>
        <w:t>Číslo výzvy:  22/PRV/2017</w:t>
      </w:r>
      <w:r>
        <w:rPr>
          <w:rFonts w:asciiTheme="minorHAnsi" w:hAnsiTheme="minorHAnsi"/>
          <w:b/>
          <w:color w:val="FF0000"/>
          <w:sz w:val="24"/>
          <w:szCs w:val="24"/>
        </w:rPr>
        <w:t xml:space="preserve"> </w:t>
      </w:r>
      <w:r w:rsidR="00015BA1" w:rsidRPr="00015BA1">
        <w:rPr>
          <w:rFonts w:asciiTheme="minorHAnsi" w:hAnsiTheme="minorHAnsi"/>
          <w:b/>
          <w:color w:val="FF0000"/>
          <w:sz w:val="24"/>
          <w:szCs w:val="24"/>
        </w:rPr>
        <w:t xml:space="preserve">- aktualizácia č. </w:t>
      </w:r>
      <w:r w:rsidR="009C07F4">
        <w:rPr>
          <w:rFonts w:asciiTheme="minorHAnsi" w:hAnsiTheme="minorHAnsi"/>
          <w:b/>
          <w:color w:val="FF0000"/>
          <w:sz w:val="24"/>
          <w:szCs w:val="24"/>
        </w:rPr>
        <w:t>2</w:t>
      </w:r>
    </w:p>
    <w:p w:rsidR="00AE15C6" w:rsidRDefault="00AE15C6">
      <w:pPr>
        <w:pStyle w:val="TextBodyIndent"/>
        <w:ind w:firstLine="257"/>
        <w:rPr>
          <w:rFonts w:asciiTheme="minorHAnsi" w:hAnsiTheme="minorHAnsi"/>
          <w:sz w:val="24"/>
          <w:szCs w:val="24"/>
        </w:rPr>
      </w:pPr>
    </w:p>
    <w:p w:rsidR="00AE15C6" w:rsidRDefault="007C2CF9">
      <w:pPr>
        <w:pStyle w:val="TextBodyIndent"/>
        <w:rPr>
          <w:rFonts w:asciiTheme="minorHAnsi" w:hAnsiTheme="minorHAnsi"/>
          <w:sz w:val="24"/>
          <w:szCs w:val="24"/>
        </w:rPr>
      </w:pPr>
      <w:r>
        <w:rPr>
          <w:rFonts w:asciiTheme="minorHAnsi" w:hAnsiTheme="minorHAnsi"/>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Pr>
          <w:rFonts w:asciiTheme="minorHAnsi" w:hAnsiTheme="minorHAnsi"/>
          <w:bCs/>
          <w:color w:val="000000"/>
          <w:sz w:val="24"/>
          <w:szCs w:val="24"/>
        </w:rPr>
        <w:t xml:space="preserve"> </w:t>
      </w:r>
      <w:r>
        <w:rPr>
          <w:rFonts w:asciiTheme="minorHAnsi" w:hAnsiTheme="minorHAnsi"/>
          <w:b/>
          <w:bCs/>
          <w:color w:val="000000"/>
          <w:sz w:val="24"/>
          <w:szCs w:val="24"/>
        </w:rPr>
        <w:t xml:space="preserve"> výzvu na predkladanie Žiadostí o poskytnutie nenávratného finančného príspevku z PRV</w:t>
      </w:r>
      <w:r>
        <w:rPr>
          <w:rFonts w:asciiTheme="minorHAnsi" w:hAnsiTheme="minorHAnsi"/>
          <w:color w:val="000000"/>
          <w:sz w:val="24"/>
          <w:szCs w:val="24"/>
        </w:rPr>
        <w:t xml:space="preserve"> (ďalej len „výzva“)</w:t>
      </w:r>
    </w:p>
    <w:p w:rsidR="00AE15C6" w:rsidRDefault="00AE15C6">
      <w:pPr>
        <w:pStyle w:val="TextBodyIndent"/>
        <w:ind w:firstLine="257"/>
        <w:rPr>
          <w:rFonts w:asciiTheme="minorHAnsi" w:hAnsiTheme="minorHAnsi"/>
          <w:sz w:val="24"/>
          <w:szCs w:val="24"/>
        </w:rPr>
      </w:pPr>
    </w:p>
    <w:p w:rsidR="00AE15C6" w:rsidRDefault="007C2CF9">
      <w:pPr>
        <w:pStyle w:val="TextBodyIndent"/>
        <w:rPr>
          <w:rFonts w:asciiTheme="minorHAnsi" w:hAnsiTheme="minorHAnsi"/>
          <w:b/>
          <w:color w:val="000000"/>
          <w:sz w:val="24"/>
          <w:szCs w:val="24"/>
        </w:rPr>
      </w:pPr>
      <w:r>
        <w:rPr>
          <w:rFonts w:asciiTheme="minorHAnsi" w:hAnsiTheme="minorHAnsi"/>
          <w:b/>
          <w:color w:val="000000"/>
          <w:sz w:val="24"/>
          <w:szCs w:val="24"/>
        </w:rPr>
        <w:t xml:space="preserve">pre opatrenie: </w:t>
      </w:r>
      <w:r>
        <w:rPr>
          <w:rFonts w:asciiTheme="minorHAnsi" w:hAnsiTheme="minorHAnsi"/>
          <w:b/>
          <w:color w:val="000000"/>
          <w:sz w:val="24"/>
          <w:szCs w:val="24"/>
        </w:rPr>
        <w:tab/>
        <w:t xml:space="preserve">7 – </w:t>
      </w:r>
      <w:r>
        <w:rPr>
          <w:rFonts w:asciiTheme="minorHAnsi" w:hAnsiTheme="minorHAnsi"/>
          <w:b/>
          <w:sz w:val="24"/>
          <w:szCs w:val="24"/>
        </w:rPr>
        <w:t>Základné služby a obnova dedín vo vidieckych oblastiach</w:t>
      </w:r>
    </w:p>
    <w:p w:rsidR="00AE15C6" w:rsidRDefault="00AE15C6">
      <w:pPr>
        <w:pStyle w:val="TextBodyIndent"/>
        <w:rPr>
          <w:rFonts w:asciiTheme="minorHAnsi" w:hAnsiTheme="minorHAnsi"/>
          <w:b/>
          <w:color w:val="000000"/>
          <w:sz w:val="24"/>
          <w:szCs w:val="24"/>
        </w:rPr>
      </w:pPr>
    </w:p>
    <w:p w:rsidR="00AE15C6" w:rsidRDefault="007C2CF9">
      <w:pPr>
        <w:pStyle w:val="TextBodyIndent"/>
        <w:ind w:left="2127" w:hanging="2127"/>
        <w:rPr>
          <w:rFonts w:asciiTheme="minorHAnsi" w:hAnsiTheme="minorHAnsi"/>
          <w:b/>
          <w:sz w:val="24"/>
          <w:szCs w:val="24"/>
        </w:rPr>
      </w:pPr>
      <w:r>
        <w:rPr>
          <w:rFonts w:asciiTheme="minorHAnsi" w:hAnsiTheme="minorHAnsi"/>
          <w:b/>
          <w:color w:val="000000"/>
          <w:sz w:val="24"/>
          <w:szCs w:val="24"/>
        </w:rPr>
        <w:t xml:space="preserve">podopatrenie: </w:t>
      </w:r>
      <w:r>
        <w:rPr>
          <w:rFonts w:asciiTheme="minorHAnsi" w:hAnsiTheme="minorHAnsi"/>
          <w:b/>
          <w:color w:val="000000"/>
          <w:sz w:val="24"/>
          <w:szCs w:val="24"/>
        </w:rPr>
        <w:tab/>
        <w:t xml:space="preserve">7.4 – </w:t>
      </w:r>
      <w:r>
        <w:rPr>
          <w:rFonts w:asciiTheme="minorHAnsi" w:hAnsiTheme="minorHAnsi"/>
          <w:b/>
          <w:sz w:val="24"/>
          <w:szCs w:val="24"/>
        </w:rPr>
        <w:t>Podpora na investície do vytvárania, zlepšovania alebo rozširovania miestnych základných služieb pre vidiecke obyvateľstvo vrátane voľného času a kultúry a súvisiacej infraštruktúry</w:t>
      </w:r>
    </w:p>
    <w:p w:rsidR="00AE15C6" w:rsidRDefault="00AE15C6">
      <w:pPr>
        <w:pStyle w:val="TextBodyIndent"/>
        <w:ind w:left="2127" w:hanging="2127"/>
        <w:rPr>
          <w:rFonts w:asciiTheme="minorHAnsi" w:hAnsiTheme="minorHAnsi"/>
          <w:b/>
          <w:color w:val="000000"/>
          <w:sz w:val="24"/>
          <w:szCs w:val="24"/>
        </w:rPr>
      </w:pPr>
    </w:p>
    <w:p w:rsidR="00AE15C6" w:rsidRDefault="007C2CF9">
      <w:pPr>
        <w:pStyle w:val="TextBodyIndent"/>
        <w:rPr>
          <w:rFonts w:asciiTheme="minorHAnsi" w:hAnsiTheme="minorHAnsi"/>
          <w:b/>
          <w:color w:val="000000"/>
          <w:sz w:val="24"/>
          <w:szCs w:val="24"/>
        </w:rPr>
      </w:pPr>
      <w:r>
        <w:rPr>
          <w:rFonts w:asciiTheme="minorHAnsi" w:hAnsiTheme="minorHAnsi"/>
          <w:b/>
          <w:color w:val="000000"/>
          <w:sz w:val="24"/>
          <w:szCs w:val="24"/>
        </w:rPr>
        <w:t xml:space="preserve">Dátum vyhlásenia výzvy: </w:t>
      </w:r>
      <w:sdt>
        <w:sdtPr>
          <w:id w:val="151643093"/>
          <w:date w:fullDate="2017-05-31T00:00:00Z">
            <w:dateFormat w:val="dd/MM/yyyy"/>
            <w:lid w:val="sk-SK"/>
            <w:storeMappedDataAs w:val="dateTime"/>
            <w:calendar w:val="gregorian"/>
          </w:date>
        </w:sdtPr>
        <w:sdtEndPr/>
        <w:sdtContent>
          <w:r>
            <w:rPr>
              <w:rFonts w:asciiTheme="minorHAnsi" w:hAnsiTheme="minorHAnsi"/>
              <w:b/>
              <w:color w:val="000000"/>
              <w:sz w:val="24"/>
              <w:szCs w:val="24"/>
            </w:rPr>
            <w:t>31/05/2017</w:t>
          </w:r>
        </w:sdtContent>
      </w:sdt>
      <w:r>
        <w:rPr>
          <w:rFonts w:asciiTheme="minorHAnsi" w:hAnsiTheme="minorHAnsi"/>
          <w:b/>
          <w:color w:val="000000"/>
          <w:sz w:val="24"/>
          <w:szCs w:val="24"/>
        </w:rPr>
        <w:t xml:space="preserve">         Dátum uzavretia výzvy: </w:t>
      </w:r>
      <w:sdt>
        <w:sdtPr>
          <w:id w:val="-996262432"/>
          <w:date w:fullDate="2017-11-30T00:00:00Z">
            <w:dateFormat w:val="d. M. yyyy"/>
            <w:lid w:val="sk-SK"/>
            <w:storeMappedDataAs w:val="dateTime"/>
            <w:calendar w:val="gregorian"/>
          </w:date>
        </w:sdtPr>
        <w:sdtEndPr/>
        <w:sdtContent>
          <w:r>
            <w:rPr>
              <w:rFonts w:asciiTheme="minorHAnsi" w:hAnsiTheme="minorHAnsi"/>
              <w:b/>
              <w:color w:val="000000"/>
              <w:sz w:val="24"/>
              <w:szCs w:val="24"/>
            </w:rPr>
            <w:t>30. 11. 2017</w:t>
          </w:r>
        </w:sdtContent>
      </w:sdt>
      <w:r>
        <w:rPr>
          <w:rFonts w:asciiTheme="minorHAnsi" w:hAnsiTheme="minorHAnsi"/>
          <w:b/>
          <w:color w:val="000000"/>
          <w:sz w:val="24"/>
          <w:szCs w:val="24"/>
        </w:rPr>
        <w:t xml:space="preserve"> </w:t>
      </w:r>
    </w:p>
    <w:p w:rsidR="00AE15C6" w:rsidRDefault="00AE15C6">
      <w:pPr>
        <w:tabs>
          <w:tab w:val="left" w:pos="540"/>
        </w:tabs>
        <w:spacing w:line="280" w:lineRule="exact"/>
        <w:rPr>
          <w:rFonts w:asciiTheme="minorHAnsi" w:hAnsiTheme="minorHAnsi"/>
          <w:b/>
          <w:bCs/>
        </w:rPr>
      </w:pPr>
    </w:p>
    <w:p w:rsidR="00AE15C6" w:rsidRDefault="007C2CF9">
      <w:pPr>
        <w:numPr>
          <w:ilvl w:val="0"/>
          <w:numId w:val="3"/>
        </w:numPr>
        <w:tabs>
          <w:tab w:val="left" w:pos="289"/>
        </w:tabs>
        <w:spacing w:line="280" w:lineRule="exact"/>
        <w:ind w:hanging="720"/>
        <w:jc w:val="both"/>
        <w:rPr>
          <w:rFonts w:asciiTheme="minorHAnsi" w:hAnsiTheme="minorHAnsi"/>
          <w:b/>
          <w:bCs/>
        </w:rPr>
      </w:pPr>
      <w:r>
        <w:rPr>
          <w:rFonts w:asciiTheme="minorHAnsi" w:hAnsiTheme="minorHAnsi"/>
          <w:b/>
          <w:bCs/>
        </w:rPr>
        <w:t>Formálne náležitosti výzvy</w:t>
      </w:r>
    </w:p>
    <w:p w:rsidR="00AE15C6" w:rsidRDefault="00AE15C6">
      <w:pPr>
        <w:tabs>
          <w:tab w:val="left" w:pos="289"/>
        </w:tabs>
        <w:spacing w:line="280" w:lineRule="exact"/>
        <w:ind w:left="720"/>
        <w:jc w:val="both"/>
        <w:rPr>
          <w:rFonts w:asciiTheme="minorHAnsi" w:hAnsiTheme="minorHAnsi"/>
          <w:b/>
          <w:bCs/>
        </w:rPr>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Kontaktné údaje poskytovateľa a spôsob komunikácie s poskytovateľom:</w:t>
      </w:r>
    </w:p>
    <w:p w:rsidR="00AE15C6" w:rsidRDefault="007C2CF9">
      <w:pPr>
        <w:tabs>
          <w:tab w:val="left" w:pos="289"/>
        </w:tabs>
        <w:spacing w:line="280" w:lineRule="exact"/>
        <w:ind w:left="567"/>
        <w:jc w:val="both"/>
        <w:rPr>
          <w:rFonts w:asciiTheme="minorHAnsi" w:hAnsiTheme="minorHAnsi"/>
        </w:rPr>
      </w:pPr>
      <w:r>
        <w:rPr>
          <w:rFonts w:asciiTheme="minorHAnsi" w:hAnsiTheme="minorHAnsi"/>
        </w:rPr>
        <w:t xml:space="preserve">Žiadosti o poskytnutie informácií adresujte na kanceláriu generálneho riaditeľa PPA, Dobrovičova 12, 815 26 Bratislava. Prípadné informácie je možné získať na tel. č. 02/52733800, e–mail: </w:t>
      </w:r>
      <w:hyperlink r:id="rId10">
        <w:r>
          <w:rPr>
            <w:rStyle w:val="InternetLink"/>
            <w:rFonts w:asciiTheme="minorHAnsi" w:hAnsiTheme="minorHAnsi"/>
            <w:sz w:val="24"/>
          </w:rPr>
          <w:t>info@apa.sk</w:t>
        </w:r>
      </w:hyperlink>
      <w:r>
        <w:rPr>
          <w:rFonts w:asciiTheme="minorHAnsi" w:hAnsiTheme="minorHAnsi"/>
        </w:rPr>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Pr>
          <w:rFonts w:asciiTheme="minorHAnsi" w:hAnsiTheme="minorHAnsi"/>
          <w:b/>
          <w:bCs/>
        </w:rPr>
        <w:t>neposkytne informácie</w:t>
      </w:r>
      <w:r>
        <w:rPr>
          <w:rFonts w:asciiTheme="minorHAnsi" w:hAnsiTheme="minorHAnsi"/>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rsidR="00015BA1" w:rsidRDefault="00015BA1">
      <w:pPr>
        <w:tabs>
          <w:tab w:val="left" w:pos="289"/>
        </w:tabs>
        <w:spacing w:line="280" w:lineRule="exact"/>
        <w:ind w:left="567"/>
        <w:jc w:val="both"/>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lastRenderedPageBreak/>
        <w:t xml:space="preserve"> Časový harmonogram konania o ŽoNFP</w:t>
      </w:r>
    </w:p>
    <w:p w:rsidR="00AE15C6" w:rsidRDefault="00AE15C6">
      <w:pPr>
        <w:tabs>
          <w:tab w:val="left" w:pos="289"/>
        </w:tabs>
        <w:spacing w:line="280" w:lineRule="exact"/>
        <w:ind w:left="567"/>
        <w:jc w:val="both"/>
        <w:rPr>
          <w:rFonts w:asciiTheme="minorHAnsi" w:hAnsiTheme="minorHAnsi"/>
          <w:b/>
        </w:rPr>
      </w:pPr>
    </w:p>
    <w:tbl>
      <w:tblPr>
        <w:tblW w:w="9308"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2197"/>
        <w:gridCol w:w="2422"/>
        <w:gridCol w:w="2291"/>
      </w:tblGrid>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Cs/>
                <w:sz w:val="22"/>
                <w:highlight w:val="cyan"/>
              </w:rPr>
            </w:pPr>
            <w:r>
              <w:rPr>
                <w:rFonts w:asciiTheme="minorHAnsi" w:hAnsiTheme="minorHAnsi"/>
                <w:b/>
                <w:bCs/>
                <w:sz w:val="22"/>
              </w:rPr>
              <w:t>Podávanie a prijímanie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rsidR="00AE15C6" w:rsidRDefault="007C2CF9">
            <w:pPr>
              <w:tabs>
                <w:tab w:val="left" w:pos="360"/>
              </w:tabs>
              <w:rPr>
                <w:rFonts w:asciiTheme="minorHAnsi" w:hAnsiTheme="minorHAnsi"/>
                <w:sz w:val="22"/>
              </w:rPr>
            </w:pPr>
            <w:r>
              <w:rPr>
                <w:rFonts w:asciiTheme="minorHAnsi" w:hAnsiTheme="minorHAnsi"/>
                <w:sz w:val="22"/>
              </w:rPr>
              <w:t xml:space="preserve">od </w:t>
            </w:r>
            <w:sdt>
              <w:sdtPr>
                <w:id w:val="369421950"/>
                <w:date w:fullDate="2017-11-02T00:00:00Z">
                  <w:dateFormat w:val="d. M. yyyy"/>
                  <w:lid w:val="sk-SK"/>
                  <w:storeMappedDataAs w:val="dateTime"/>
                  <w:calendar w:val="gregorian"/>
                </w:date>
              </w:sdtPr>
              <w:sdtEndPr/>
              <w:sdtContent>
                <w:r>
                  <w:rPr>
                    <w:rFonts w:asciiTheme="minorHAnsi" w:hAnsiTheme="minorHAnsi"/>
                    <w:sz w:val="22"/>
                  </w:rPr>
                  <w:t>2. 11. 2017</w:t>
                </w:r>
              </w:sdtContent>
            </w:sdt>
            <w:r>
              <w:rPr>
                <w:rFonts w:asciiTheme="minorHAnsi" w:hAnsiTheme="minorHAnsi"/>
                <w:sz w:val="22"/>
              </w:rPr>
              <w:t xml:space="preserve"> do </w:t>
            </w:r>
            <w:sdt>
              <w:sdtPr>
                <w:id w:val="-834371738"/>
                <w:date w:fullDate="2017-11-30T00:00:00Z">
                  <w:dateFormat w:val="d. M. yyyy"/>
                  <w:lid w:val="sk-SK"/>
                  <w:storeMappedDataAs w:val="dateTime"/>
                  <w:calendar w:val="gregorian"/>
                </w:date>
              </w:sdtPr>
              <w:sdtEndPr/>
              <w:sdtContent>
                <w:r>
                  <w:rPr>
                    <w:rFonts w:asciiTheme="minorHAnsi" w:hAnsiTheme="minorHAnsi"/>
                    <w:sz w:val="22"/>
                  </w:rPr>
                  <w:t>30. 11. 2017</w:t>
                </w:r>
              </w:sdtContent>
            </w:sdt>
          </w:p>
        </w:tc>
      </w:tr>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Cs/>
                <w:sz w:val="22"/>
              </w:rPr>
            </w:pPr>
            <w:r>
              <w:rPr>
                <w:rFonts w:asciiTheme="minorHAnsi" w:hAnsiTheme="minorHAnsi"/>
                <w:b/>
                <w:bCs/>
                <w:sz w:val="22"/>
              </w:rPr>
              <w:t>Hodnotenie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sz w:val="22"/>
              </w:rPr>
            </w:pPr>
            <w:r>
              <w:rPr>
                <w:rFonts w:asciiTheme="minorHAnsi" w:hAnsiTheme="minorHAnsi"/>
                <w:bCs/>
                <w:sz w:val="22"/>
              </w:rPr>
              <w:t xml:space="preserve">Začína od </w:t>
            </w:r>
            <w:r>
              <w:rPr>
                <w:rFonts w:asciiTheme="minorHAnsi" w:hAnsiTheme="minorHAnsi"/>
                <w:color w:val="000000"/>
                <w:sz w:val="22"/>
              </w:rPr>
              <w:t>posledného možného dátumu na doručenie ŽoNFP poštovou alebo obdobnou prepravou</w:t>
            </w:r>
            <w:r>
              <w:rPr>
                <w:rFonts w:asciiTheme="minorHAnsi" w:hAnsiTheme="minorHAnsi"/>
                <w:bCs/>
                <w:sz w:val="22"/>
              </w:rPr>
              <w:t xml:space="preserve"> a končí dňom vydania Rozhodnutia o schválení/neschválení ŽoNFP</w:t>
            </w:r>
          </w:p>
        </w:tc>
      </w:tr>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
                <w:bCs/>
                <w:sz w:val="22"/>
              </w:rPr>
            </w:pPr>
            <w:r>
              <w:rPr>
                <w:rFonts w:asciiTheme="minorHAnsi" w:hAnsiTheme="minorHAnsi"/>
                <w:b/>
                <w:bCs/>
                <w:sz w:val="22"/>
              </w:rPr>
              <w:t>Počet podaných ŽoNFP v predmetnej výzve</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Menej ako 100 podaných ŽoNFP</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 xml:space="preserve">Viac ako 100 a menej ako 300  podaných ŽoNFP </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 xml:space="preserve">Viac ako 300 podaných  ŽoNFP </w:t>
            </w:r>
          </w:p>
        </w:tc>
      </w:tr>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
                <w:bCs/>
                <w:sz w:val="22"/>
              </w:rPr>
            </w:pPr>
            <w:r>
              <w:rPr>
                <w:rFonts w:asciiTheme="minorHAnsi" w:hAnsiTheme="minorHAnsi"/>
                <w:b/>
                <w:bCs/>
                <w:sz w:val="22"/>
              </w:rPr>
              <w:t>Vypracovanie potvrdenia o registrácii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 xml:space="preserve">Najneskôr do 70 pracovných dní </w:t>
            </w:r>
            <w:r>
              <w:rPr>
                <w:rFonts w:asciiTheme="minorHAnsi" w:hAnsiTheme="minorHAnsi"/>
                <w:color w:val="000000"/>
                <w:sz w:val="22"/>
              </w:rPr>
              <w:t>od posledného možného dátumu na doručenie ŽoNFP poštovou alebo obdobnou prepravou</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 xml:space="preserve">Najneskôr do 90 pracovných dní </w:t>
            </w:r>
            <w:r>
              <w:rPr>
                <w:rFonts w:asciiTheme="minorHAnsi" w:hAnsiTheme="minorHAnsi"/>
                <w:color w:val="000000"/>
                <w:sz w:val="22"/>
              </w:rPr>
              <w:t>od posledného možného dátumu na doručenie ŽoNFP poštovou alebo obdobnou prepravou</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 xml:space="preserve">Najneskôr do 120 pracovných dní </w:t>
            </w:r>
            <w:r>
              <w:rPr>
                <w:rFonts w:asciiTheme="minorHAnsi" w:hAnsiTheme="minorHAnsi"/>
                <w:color w:val="000000"/>
                <w:sz w:val="22"/>
              </w:rPr>
              <w:t>od posledného možného dátumu na doručenie ŽoNFP poštovou alebo obdobnou prepravou</w:t>
            </w:r>
          </w:p>
        </w:tc>
      </w:tr>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
                <w:bCs/>
                <w:sz w:val="22"/>
              </w:rPr>
            </w:pPr>
            <w:r>
              <w:rPr>
                <w:rFonts w:asciiTheme="minorHAnsi" w:hAnsiTheme="minorHAnsi"/>
                <w:b/>
                <w:bCs/>
                <w:sz w:val="22"/>
              </w:rPr>
              <w:t>Výber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Najneskôr do</w:t>
            </w:r>
            <w:r>
              <w:rPr>
                <w:rFonts w:asciiTheme="minorHAnsi" w:hAnsiTheme="minorHAnsi"/>
                <w:color w:val="000000"/>
                <w:sz w:val="22"/>
              </w:rPr>
              <w:t xml:space="preserve"> 40 pracovných dní od </w:t>
            </w:r>
            <w:r>
              <w:rPr>
                <w:rFonts w:asciiTheme="minorHAnsi" w:hAnsiTheme="minorHAnsi"/>
                <w:bCs/>
                <w:sz w:val="22"/>
              </w:rPr>
              <w:t xml:space="preserve">vypracovania potvrdenia o registrácii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rPr>
                <w:rFonts w:asciiTheme="minorHAnsi" w:hAnsiTheme="minorHAnsi"/>
                <w:sz w:val="22"/>
              </w:rPr>
            </w:pPr>
            <w:r>
              <w:rPr>
                <w:rFonts w:asciiTheme="minorHAnsi" w:hAnsiTheme="minorHAnsi"/>
                <w:bCs/>
                <w:sz w:val="22"/>
              </w:rPr>
              <w:t xml:space="preserve">Najneskôr do </w:t>
            </w:r>
            <w:r>
              <w:rPr>
                <w:rFonts w:asciiTheme="minorHAnsi" w:hAnsiTheme="minorHAnsi"/>
                <w:color w:val="000000"/>
                <w:sz w:val="22"/>
              </w:rPr>
              <w:t xml:space="preserve"> 60 pracovných dní od </w:t>
            </w:r>
            <w:r>
              <w:rPr>
                <w:rFonts w:asciiTheme="minorHAnsi" w:hAnsiTheme="minorHAnsi"/>
                <w:bCs/>
                <w:sz w:val="22"/>
              </w:rPr>
              <w:t>vypracovania potvrdenia o registrácii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rPr>
                <w:rFonts w:asciiTheme="minorHAnsi" w:hAnsiTheme="minorHAnsi"/>
                <w:sz w:val="22"/>
              </w:rPr>
            </w:pPr>
            <w:r>
              <w:rPr>
                <w:rFonts w:asciiTheme="minorHAnsi" w:hAnsiTheme="minorHAnsi"/>
                <w:bCs/>
                <w:sz w:val="22"/>
              </w:rPr>
              <w:t>Najneskôr do</w:t>
            </w:r>
            <w:r>
              <w:rPr>
                <w:rFonts w:asciiTheme="minorHAnsi" w:hAnsiTheme="minorHAnsi"/>
                <w:color w:val="000000"/>
                <w:sz w:val="22"/>
              </w:rPr>
              <w:t xml:space="preserve"> 90 pracovných dní od </w:t>
            </w:r>
            <w:r>
              <w:rPr>
                <w:rFonts w:asciiTheme="minorHAnsi" w:hAnsiTheme="minorHAnsi"/>
                <w:bCs/>
                <w:sz w:val="22"/>
              </w:rPr>
              <w:t>vypracovania potvrdenia o registrácii ŽoNFP</w:t>
            </w:r>
          </w:p>
        </w:tc>
      </w:tr>
      <w:tr w:rsidR="00AE15C6">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AE15C6" w:rsidRDefault="007C2CF9">
            <w:pPr>
              <w:tabs>
                <w:tab w:val="left" w:pos="426"/>
              </w:tabs>
              <w:spacing w:line="280" w:lineRule="exact"/>
              <w:rPr>
                <w:rFonts w:asciiTheme="minorHAnsi" w:hAnsiTheme="minorHAnsi"/>
                <w:b/>
                <w:bCs/>
                <w:sz w:val="22"/>
              </w:rPr>
            </w:pPr>
            <w:r>
              <w:rPr>
                <w:rFonts w:asciiTheme="minorHAnsi" w:hAnsiTheme="minorHAnsi"/>
                <w:b/>
                <w:bCs/>
                <w:sz w:val="22"/>
              </w:rPr>
              <w:t>Vydanie rozhodnutia o schválení/neschválení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tabs>
                <w:tab w:val="left" w:pos="426"/>
              </w:tabs>
              <w:spacing w:line="280" w:lineRule="exact"/>
              <w:jc w:val="both"/>
              <w:rPr>
                <w:rFonts w:asciiTheme="minorHAnsi" w:hAnsiTheme="minorHAnsi"/>
                <w:bCs/>
                <w:sz w:val="22"/>
              </w:rPr>
            </w:pPr>
            <w:r>
              <w:rPr>
                <w:rFonts w:asciiTheme="minorHAnsi" w:hAnsiTheme="minorHAnsi"/>
                <w:bCs/>
                <w:sz w:val="22"/>
              </w:rPr>
              <w:t>Najneskôr do</w:t>
            </w:r>
            <w:r>
              <w:rPr>
                <w:rFonts w:asciiTheme="minorHAnsi" w:hAnsiTheme="minorHAnsi"/>
                <w:color w:val="000000"/>
                <w:sz w:val="22"/>
              </w:rPr>
              <w:t xml:space="preserve"> 30 pracovných dní od výberu </w:t>
            </w:r>
            <w:r>
              <w:rPr>
                <w:rFonts w:asciiTheme="minorHAnsi" w:hAnsiTheme="minorHAnsi"/>
                <w:bCs/>
                <w:sz w:val="22"/>
              </w:rPr>
              <w:t xml:space="preserve">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rPr>
                <w:rFonts w:asciiTheme="minorHAnsi" w:hAnsiTheme="minorHAnsi"/>
                <w:sz w:val="22"/>
              </w:rPr>
            </w:pPr>
            <w:r>
              <w:rPr>
                <w:rFonts w:asciiTheme="minorHAnsi" w:hAnsiTheme="minorHAnsi"/>
                <w:bCs/>
                <w:sz w:val="22"/>
              </w:rPr>
              <w:t xml:space="preserve">Najneskôr do </w:t>
            </w:r>
            <w:r>
              <w:rPr>
                <w:rFonts w:asciiTheme="minorHAnsi" w:hAnsiTheme="minorHAnsi"/>
                <w:color w:val="000000"/>
                <w:sz w:val="22"/>
              </w:rPr>
              <w:t xml:space="preserve"> 40 pracovných dní od výberu </w:t>
            </w:r>
            <w:r>
              <w:rPr>
                <w:rFonts w:asciiTheme="minorHAnsi" w:hAnsiTheme="minorHAnsi"/>
                <w:bCs/>
                <w:sz w:val="22"/>
              </w:rPr>
              <w:t xml:space="preserve">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AE15C6" w:rsidRDefault="007C2CF9">
            <w:pPr>
              <w:rPr>
                <w:rFonts w:asciiTheme="minorHAnsi" w:hAnsiTheme="minorHAnsi"/>
                <w:sz w:val="22"/>
              </w:rPr>
            </w:pPr>
            <w:r>
              <w:rPr>
                <w:rFonts w:asciiTheme="minorHAnsi" w:hAnsiTheme="minorHAnsi"/>
                <w:bCs/>
                <w:sz w:val="22"/>
              </w:rPr>
              <w:t xml:space="preserve">Najneskôr do </w:t>
            </w:r>
            <w:r>
              <w:rPr>
                <w:rFonts w:asciiTheme="minorHAnsi" w:hAnsiTheme="minorHAnsi"/>
                <w:color w:val="000000"/>
                <w:sz w:val="22"/>
              </w:rPr>
              <w:t xml:space="preserve"> 60 pracovných dní od výberu </w:t>
            </w:r>
            <w:r>
              <w:rPr>
                <w:rFonts w:asciiTheme="minorHAnsi" w:hAnsiTheme="minorHAnsi"/>
                <w:bCs/>
                <w:sz w:val="22"/>
              </w:rPr>
              <w:t xml:space="preserve"> ŽoNFP</w:t>
            </w:r>
          </w:p>
        </w:tc>
      </w:tr>
    </w:tbl>
    <w:p w:rsidR="00AE15C6" w:rsidRDefault="00AE15C6">
      <w:pPr>
        <w:tabs>
          <w:tab w:val="left" w:pos="426"/>
        </w:tabs>
        <w:spacing w:line="280" w:lineRule="exact"/>
        <w:jc w:val="both"/>
        <w:rPr>
          <w:rFonts w:asciiTheme="minorHAnsi" w:hAnsiTheme="minorHAnsi"/>
          <w:b/>
        </w:rPr>
      </w:pP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 xml:space="preserve">Indikatívna výška finančných prostriedkov určených na vyčerpanie vo výzve člení sa na menej rozvinuté regióny </w:t>
      </w:r>
      <w:r>
        <w:rPr>
          <w:rFonts w:asciiTheme="minorHAnsi" w:hAnsiTheme="minorHAnsi"/>
        </w:rPr>
        <w:t>(mimo Bratislavského kraja - v stĺpci MRR) a ostatné regióny (Bratislavský kraj - v stĺpci OR):</w:t>
      </w:r>
    </w:p>
    <w:p w:rsidR="00AE15C6" w:rsidRDefault="00AE15C6">
      <w:pPr>
        <w:tabs>
          <w:tab w:val="left" w:pos="289"/>
        </w:tabs>
        <w:spacing w:line="280" w:lineRule="exact"/>
        <w:ind w:left="567"/>
        <w:jc w:val="both"/>
        <w:rPr>
          <w:rFonts w:asciiTheme="minorHAnsi" w:hAnsiTheme="minorHAnsi"/>
          <w:b/>
        </w:rPr>
      </w:pPr>
    </w:p>
    <w:tbl>
      <w:tblPr>
        <w:tblStyle w:val="Mriekatabuky"/>
        <w:tblW w:w="9214" w:type="dxa"/>
        <w:tblInd w:w="-34" w:type="dxa"/>
        <w:tblLook w:val="04A0" w:firstRow="1" w:lastRow="0" w:firstColumn="1" w:lastColumn="0" w:noHBand="0" w:noVBand="1"/>
      </w:tblPr>
      <w:tblGrid>
        <w:gridCol w:w="1135"/>
        <w:gridCol w:w="3647"/>
        <w:gridCol w:w="1513"/>
        <w:gridCol w:w="1513"/>
        <w:gridCol w:w="1406"/>
      </w:tblGrid>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
                <w:color w:val="000000"/>
                <w:sz w:val="22"/>
                <w:lang w:eastAsia="sk-SK"/>
              </w:rPr>
              <w:t>Aktivita</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
                <w:color w:val="000000"/>
                <w:sz w:val="22"/>
                <w:lang w:eastAsia="sk-SK"/>
              </w:rPr>
              <w:t>Zameranie</w:t>
            </w:r>
          </w:p>
        </w:tc>
        <w:tc>
          <w:tcPr>
            <w:tcW w:w="1513"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
                <w:color w:val="000000"/>
                <w:sz w:val="22"/>
                <w:lang w:eastAsia="sk-SK"/>
              </w:rPr>
              <w:t>Spolu indikatívna výška finančných prostriedkov (v EUR)</w:t>
            </w:r>
          </w:p>
        </w:tc>
        <w:tc>
          <w:tcPr>
            <w:tcW w:w="1513"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
                <w:color w:val="000000"/>
                <w:sz w:val="22"/>
                <w:lang w:eastAsia="sk-SK"/>
              </w:rPr>
              <w:t>Indikatívna výška finančných prostriedkov za MRR (v EUR)</w:t>
            </w:r>
          </w:p>
        </w:tc>
        <w:tc>
          <w:tcPr>
            <w:tcW w:w="1406"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
                <w:color w:val="000000"/>
                <w:sz w:val="22"/>
                <w:lang w:eastAsia="sk-SK"/>
              </w:rPr>
              <w:t>Indikatívna výška finančných prostriedkov za OR (v EUR)</w:t>
            </w: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
                <w:bCs/>
                <w:sz w:val="22"/>
                <w:lang w:eastAsia="sk-SK"/>
              </w:rPr>
            </w:pPr>
            <w:r>
              <w:rPr>
                <w:rFonts w:asciiTheme="minorHAnsi" w:hAnsiTheme="minorHAnsi"/>
                <w:color w:val="000000"/>
                <w:sz w:val="22"/>
                <w:lang w:eastAsia="sk-SK"/>
              </w:rPr>
              <w:t>1</w:t>
            </w:r>
            <w:r>
              <w:rPr>
                <w:rFonts w:asciiTheme="minorHAnsi" w:hAnsiTheme="minorHAnsi"/>
                <w:b/>
                <w:color w:val="000000"/>
                <w:sz w:val="22"/>
                <w:lang w:eastAsia="sk-SK"/>
              </w:rPr>
              <w:t>.</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tc>
        <w:tc>
          <w:tcPr>
            <w:tcW w:w="1513" w:type="dxa"/>
            <w:shd w:val="clear" w:color="auto" w:fill="auto"/>
            <w:tcMar>
              <w:left w:w="108" w:type="dxa"/>
            </w:tcMar>
            <w:vAlign w:val="center"/>
          </w:tcPr>
          <w:p w:rsidR="0064527F" w:rsidRDefault="0064527F">
            <w:pPr>
              <w:tabs>
                <w:tab w:val="left" w:pos="567"/>
                <w:tab w:val="left" w:pos="611"/>
              </w:tabs>
              <w:spacing w:line="280" w:lineRule="exact"/>
              <w:jc w:val="right"/>
              <w:rPr>
                <w:rFonts w:asciiTheme="minorHAnsi" w:hAnsiTheme="minorHAnsi"/>
                <w:color w:val="000000"/>
                <w:sz w:val="22"/>
                <w:lang w:eastAsia="sk-SK"/>
              </w:rPr>
            </w:pPr>
            <w:r>
              <w:rPr>
                <w:rFonts w:asciiTheme="minorHAnsi" w:hAnsiTheme="minorHAnsi"/>
                <w:color w:val="FF0000"/>
                <w:sz w:val="22"/>
                <w:lang w:eastAsia="sk-SK"/>
              </w:rPr>
              <w:t>32 600 000</w:t>
            </w:r>
            <w:r w:rsidR="007C2CF9">
              <w:rPr>
                <w:rFonts w:asciiTheme="minorHAnsi" w:hAnsiTheme="minorHAnsi"/>
                <w:color w:val="000000"/>
                <w:sz w:val="22"/>
                <w:lang w:eastAsia="sk-SK"/>
              </w:rPr>
              <w:t xml:space="preserve"> </w:t>
            </w:r>
          </w:p>
          <w:p w:rsidR="00AE15C6" w:rsidRPr="0064527F" w:rsidRDefault="007C2CF9">
            <w:pPr>
              <w:tabs>
                <w:tab w:val="left" w:pos="567"/>
                <w:tab w:val="left" w:pos="611"/>
              </w:tabs>
              <w:spacing w:line="280" w:lineRule="exact"/>
              <w:jc w:val="right"/>
              <w:rPr>
                <w:rFonts w:asciiTheme="minorHAnsi" w:hAnsiTheme="minorHAnsi"/>
                <w:bCs/>
                <w:dstrike/>
                <w:sz w:val="22"/>
                <w:lang w:eastAsia="sk-SK"/>
              </w:rPr>
            </w:pPr>
            <w:r w:rsidRPr="0064527F">
              <w:rPr>
                <w:rFonts w:asciiTheme="minorHAnsi" w:hAnsiTheme="minorHAnsi"/>
                <w:dstrike/>
                <w:color w:val="000000"/>
                <w:sz w:val="22"/>
                <w:lang w:eastAsia="sk-SK"/>
              </w:rPr>
              <w:t>12</w:t>
            </w:r>
            <w:r w:rsidR="0064527F" w:rsidRPr="0064527F">
              <w:rPr>
                <w:rFonts w:asciiTheme="minorHAnsi" w:hAnsiTheme="minorHAnsi"/>
                <w:dstrike/>
                <w:color w:val="000000"/>
                <w:sz w:val="22"/>
                <w:lang w:eastAsia="sk-SK"/>
              </w:rPr>
              <w:t> </w:t>
            </w:r>
            <w:r w:rsidRPr="0064527F">
              <w:rPr>
                <w:rFonts w:asciiTheme="minorHAnsi" w:hAnsiTheme="minorHAnsi"/>
                <w:dstrike/>
                <w:color w:val="000000"/>
                <w:sz w:val="22"/>
                <w:lang w:eastAsia="sk-SK"/>
              </w:rPr>
              <w:t xml:space="preserve">500 000   </w:t>
            </w:r>
          </w:p>
        </w:tc>
        <w:tc>
          <w:tcPr>
            <w:tcW w:w="1513" w:type="dxa"/>
            <w:shd w:val="clear" w:color="auto" w:fill="auto"/>
            <w:tcMar>
              <w:left w:w="108" w:type="dxa"/>
            </w:tcMar>
            <w:vAlign w:val="center"/>
          </w:tcPr>
          <w:p w:rsidR="0064527F" w:rsidRDefault="0064527F">
            <w:pPr>
              <w:tabs>
                <w:tab w:val="left" w:pos="567"/>
                <w:tab w:val="left" w:pos="611"/>
              </w:tabs>
              <w:spacing w:line="280" w:lineRule="exact"/>
              <w:jc w:val="right"/>
              <w:rPr>
                <w:rFonts w:asciiTheme="minorHAnsi" w:hAnsiTheme="minorHAnsi"/>
                <w:color w:val="FF0000"/>
                <w:sz w:val="22"/>
                <w:lang w:eastAsia="sk-SK"/>
              </w:rPr>
            </w:pPr>
          </w:p>
          <w:p w:rsidR="0064527F" w:rsidRDefault="0064527F">
            <w:pPr>
              <w:tabs>
                <w:tab w:val="left" w:pos="567"/>
                <w:tab w:val="left" w:pos="611"/>
              </w:tabs>
              <w:spacing w:line="280" w:lineRule="exact"/>
              <w:jc w:val="right"/>
              <w:rPr>
                <w:rFonts w:asciiTheme="minorHAnsi" w:hAnsiTheme="minorHAnsi"/>
                <w:color w:val="000000"/>
                <w:sz w:val="22"/>
                <w:lang w:eastAsia="sk-SK"/>
              </w:rPr>
            </w:pPr>
            <w:r w:rsidRPr="0064527F">
              <w:rPr>
                <w:rFonts w:asciiTheme="minorHAnsi" w:hAnsiTheme="minorHAnsi"/>
                <w:color w:val="FF0000"/>
                <w:sz w:val="22"/>
                <w:lang w:eastAsia="sk-SK"/>
              </w:rPr>
              <w:t xml:space="preserve">32 100 000  </w:t>
            </w:r>
            <w:r w:rsidR="007C2CF9">
              <w:rPr>
                <w:rFonts w:asciiTheme="minorHAnsi" w:hAnsiTheme="minorHAnsi"/>
                <w:color w:val="000000"/>
                <w:sz w:val="22"/>
                <w:lang w:eastAsia="sk-SK"/>
              </w:rPr>
              <w:t xml:space="preserve">    </w:t>
            </w:r>
          </w:p>
          <w:p w:rsidR="0064527F" w:rsidRDefault="007C2CF9">
            <w:pPr>
              <w:tabs>
                <w:tab w:val="left" w:pos="567"/>
                <w:tab w:val="left" w:pos="611"/>
              </w:tabs>
              <w:spacing w:line="280" w:lineRule="exact"/>
              <w:jc w:val="right"/>
              <w:rPr>
                <w:rFonts w:asciiTheme="minorHAnsi" w:hAnsiTheme="minorHAnsi"/>
                <w:dstrike/>
                <w:color w:val="000000"/>
                <w:sz w:val="22"/>
                <w:lang w:eastAsia="sk-SK"/>
              </w:rPr>
            </w:pPr>
            <w:r w:rsidRPr="0064527F">
              <w:rPr>
                <w:rFonts w:asciiTheme="minorHAnsi" w:hAnsiTheme="minorHAnsi"/>
                <w:dstrike/>
                <w:color w:val="000000"/>
                <w:sz w:val="22"/>
                <w:lang w:eastAsia="sk-SK"/>
              </w:rPr>
              <w:t>12 000</w:t>
            </w:r>
            <w:r w:rsidR="0064527F">
              <w:rPr>
                <w:rFonts w:asciiTheme="minorHAnsi" w:hAnsiTheme="minorHAnsi"/>
                <w:dstrike/>
                <w:color w:val="000000"/>
                <w:sz w:val="22"/>
                <w:lang w:eastAsia="sk-SK"/>
              </w:rPr>
              <w:t> </w:t>
            </w:r>
            <w:r w:rsidRPr="0064527F">
              <w:rPr>
                <w:rFonts w:asciiTheme="minorHAnsi" w:hAnsiTheme="minorHAnsi"/>
                <w:dstrike/>
                <w:color w:val="000000"/>
                <w:sz w:val="22"/>
                <w:lang w:eastAsia="sk-SK"/>
              </w:rPr>
              <w:t xml:space="preserve">000 </w:t>
            </w:r>
          </w:p>
          <w:p w:rsidR="00AE15C6" w:rsidRPr="0064527F" w:rsidRDefault="00AE15C6">
            <w:pPr>
              <w:tabs>
                <w:tab w:val="left" w:pos="567"/>
                <w:tab w:val="left" w:pos="611"/>
              </w:tabs>
              <w:spacing w:line="280" w:lineRule="exact"/>
              <w:jc w:val="right"/>
              <w:rPr>
                <w:rFonts w:asciiTheme="minorHAnsi" w:hAnsiTheme="minorHAnsi"/>
                <w:bCs/>
                <w:sz w:val="22"/>
                <w:lang w:eastAsia="sk-SK"/>
              </w:rPr>
            </w:pPr>
          </w:p>
        </w:tc>
        <w:tc>
          <w:tcPr>
            <w:tcW w:w="1406" w:type="dxa"/>
            <w:shd w:val="clear" w:color="auto" w:fill="auto"/>
            <w:tcMar>
              <w:left w:w="108" w:type="dxa"/>
            </w:tcMar>
            <w:vAlign w:val="center"/>
          </w:tcPr>
          <w:p w:rsidR="00AE15C6" w:rsidRDefault="007C2CF9">
            <w:pPr>
              <w:tabs>
                <w:tab w:val="left" w:pos="567"/>
                <w:tab w:val="left" w:pos="611"/>
              </w:tabs>
              <w:spacing w:line="280" w:lineRule="exact"/>
              <w:jc w:val="right"/>
              <w:rPr>
                <w:rFonts w:asciiTheme="minorHAnsi" w:hAnsiTheme="minorHAnsi"/>
                <w:bCs/>
                <w:sz w:val="22"/>
                <w:lang w:eastAsia="sk-SK"/>
              </w:rPr>
            </w:pPr>
            <w:r>
              <w:rPr>
                <w:rFonts w:asciiTheme="minorHAnsi" w:hAnsiTheme="minorHAnsi"/>
                <w:color w:val="000000"/>
                <w:sz w:val="22"/>
                <w:lang w:eastAsia="sk-SK"/>
              </w:rPr>
              <w:t xml:space="preserve">      500 000   </w:t>
            </w: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Cs/>
                <w:sz w:val="22"/>
                <w:lang w:eastAsia="sk-SK"/>
              </w:rPr>
              <w:lastRenderedPageBreak/>
              <w:t>2.</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sz w:val="22"/>
                <w:lang w:eastAsia="sk-SK"/>
              </w:rPr>
              <w:t>investície zamerané na zriadenie nových, prístavba, prestavba, rekonštrukcia a modernizácia existujúcich domov smútku vrátane ich okolia</w:t>
            </w:r>
          </w:p>
        </w:tc>
        <w:tc>
          <w:tcPr>
            <w:tcW w:w="1513" w:type="dxa"/>
            <w:vMerge w:val="restart"/>
            <w:shd w:val="clear" w:color="auto" w:fill="auto"/>
            <w:tcMar>
              <w:left w:w="108" w:type="dxa"/>
            </w:tcMar>
            <w:vAlign w:val="center"/>
          </w:tcPr>
          <w:p w:rsidR="003355F2" w:rsidRPr="009C07F4" w:rsidRDefault="007C2CF9">
            <w:pPr>
              <w:tabs>
                <w:tab w:val="left" w:pos="567"/>
                <w:tab w:val="left" w:pos="611"/>
              </w:tabs>
              <w:spacing w:line="280" w:lineRule="exact"/>
              <w:jc w:val="right"/>
              <w:rPr>
                <w:rFonts w:asciiTheme="minorHAnsi" w:hAnsiTheme="minorHAnsi"/>
                <w:dstrike/>
                <w:sz w:val="22"/>
                <w:lang w:eastAsia="sk-SK"/>
              </w:rPr>
            </w:pPr>
            <w:r w:rsidRPr="009C07F4">
              <w:rPr>
                <w:rFonts w:asciiTheme="minorHAnsi" w:hAnsiTheme="minorHAnsi"/>
                <w:sz w:val="22"/>
                <w:lang w:eastAsia="sk-SK"/>
              </w:rPr>
              <w:t xml:space="preserve">   </w:t>
            </w:r>
          </w:p>
          <w:p w:rsidR="00AE15C6" w:rsidRPr="009C07F4" w:rsidRDefault="003355F2">
            <w:pPr>
              <w:tabs>
                <w:tab w:val="left" w:pos="567"/>
                <w:tab w:val="left" w:pos="611"/>
              </w:tabs>
              <w:spacing w:line="280" w:lineRule="exact"/>
              <w:jc w:val="right"/>
              <w:rPr>
                <w:rFonts w:asciiTheme="minorHAnsi" w:hAnsiTheme="minorHAnsi"/>
                <w:bCs/>
                <w:sz w:val="22"/>
                <w:lang w:eastAsia="sk-SK"/>
              </w:rPr>
            </w:pPr>
            <w:r w:rsidRPr="009C07F4">
              <w:rPr>
                <w:rFonts w:asciiTheme="minorHAnsi" w:hAnsiTheme="minorHAnsi"/>
                <w:sz w:val="22"/>
                <w:lang w:eastAsia="sk-SK"/>
              </w:rPr>
              <w:t>17 500 000</w:t>
            </w:r>
            <w:r w:rsidR="007C2CF9" w:rsidRPr="009C07F4">
              <w:rPr>
                <w:rFonts w:asciiTheme="minorHAnsi" w:hAnsiTheme="minorHAnsi"/>
                <w:sz w:val="22"/>
                <w:lang w:eastAsia="sk-SK"/>
              </w:rPr>
              <w:t xml:space="preserve">   </w:t>
            </w:r>
          </w:p>
        </w:tc>
        <w:tc>
          <w:tcPr>
            <w:tcW w:w="1513" w:type="dxa"/>
            <w:vMerge w:val="restart"/>
            <w:shd w:val="clear" w:color="auto" w:fill="auto"/>
            <w:tcMar>
              <w:left w:w="108" w:type="dxa"/>
            </w:tcMar>
            <w:vAlign w:val="center"/>
          </w:tcPr>
          <w:p w:rsidR="003355F2" w:rsidRPr="009C07F4" w:rsidRDefault="007C2CF9">
            <w:pPr>
              <w:tabs>
                <w:tab w:val="left" w:pos="567"/>
                <w:tab w:val="left" w:pos="611"/>
              </w:tabs>
              <w:spacing w:line="280" w:lineRule="exact"/>
              <w:jc w:val="right"/>
              <w:rPr>
                <w:rFonts w:asciiTheme="minorHAnsi" w:hAnsiTheme="minorHAnsi"/>
                <w:dstrike/>
                <w:sz w:val="22"/>
                <w:lang w:eastAsia="sk-SK"/>
              </w:rPr>
            </w:pPr>
            <w:r w:rsidRPr="009C07F4">
              <w:rPr>
                <w:rFonts w:asciiTheme="minorHAnsi" w:hAnsiTheme="minorHAnsi"/>
                <w:sz w:val="22"/>
                <w:lang w:eastAsia="sk-SK"/>
              </w:rPr>
              <w:t xml:space="preserve">     </w:t>
            </w:r>
          </w:p>
          <w:p w:rsidR="00AE15C6" w:rsidRPr="009C07F4" w:rsidRDefault="003355F2">
            <w:pPr>
              <w:tabs>
                <w:tab w:val="left" w:pos="567"/>
                <w:tab w:val="left" w:pos="611"/>
              </w:tabs>
              <w:spacing w:line="280" w:lineRule="exact"/>
              <w:jc w:val="right"/>
              <w:rPr>
                <w:rFonts w:asciiTheme="minorHAnsi" w:hAnsiTheme="minorHAnsi"/>
                <w:bCs/>
                <w:sz w:val="22"/>
                <w:lang w:eastAsia="sk-SK"/>
              </w:rPr>
            </w:pPr>
            <w:r w:rsidRPr="009C07F4">
              <w:rPr>
                <w:rFonts w:asciiTheme="minorHAnsi" w:hAnsiTheme="minorHAnsi"/>
                <w:sz w:val="22"/>
                <w:lang w:eastAsia="sk-SK"/>
              </w:rPr>
              <w:t>17 000 000</w:t>
            </w:r>
            <w:r w:rsidR="007C2CF9" w:rsidRPr="009C07F4">
              <w:rPr>
                <w:rFonts w:asciiTheme="minorHAnsi" w:hAnsiTheme="minorHAnsi"/>
                <w:sz w:val="22"/>
                <w:lang w:eastAsia="sk-SK"/>
              </w:rPr>
              <w:t xml:space="preserve">   </w:t>
            </w:r>
          </w:p>
        </w:tc>
        <w:tc>
          <w:tcPr>
            <w:tcW w:w="1406" w:type="dxa"/>
            <w:vMerge w:val="restart"/>
            <w:shd w:val="clear" w:color="auto" w:fill="auto"/>
            <w:tcMar>
              <w:left w:w="108" w:type="dxa"/>
            </w:tcMar>
            <w:vAlign w:val="center"/>
          </w:tcPr>
          <w:p w:rsidR="0064527F" w:rsidRDefault="007C2CF9">
            <w:pPr>
              <w:tabs>
                <w:tab w:val="left" w:pos="567"/>
                <w:tab w:val="left" w:pos="611"/>
              </w:tabs>
              <w:spacing w:line="280" w:lineRule="exact"/>
              <w:jc w:val="right"/>
              <w:rPr>
                <w:rFonts w:asciiTheme="minorHAnsi" w:hAnsiTheme="minorHAnsi"/>
                <w:color w:val="000000"/>
                <w:sz w:val="22"/>
                <w:lang w:eastAsia="sk-SK"/>
              </w:rPr>
            </w:pPr>
            <w:r>
              <w:rPr>
                <w:rFonts w:asciiTheme="minorHAnsi" w:hAnsiTheme="minorHAnsi"/>
                <w:color w:val="000000"/>
                <w:sz w:val="22"/>
                <w:lang w:eastAsia="sk-SK"/>
              </w:rPr>
              <w:t xml:space="preserve">   </w:t>
            </w:r>
          </w:p>
          <w:p w:rsidR="00AE15C6" w:rsidRDefault="007C2CF9">
            <w:pPr>
              <w:tabs>
                <w:tab w:val="left" w:pos="567"/>
                <w:tab w:val="left" w:pos="611"/>
              </w:tabs>
              <w:spacing w:line="280" w:lineRule="exact"/>
              <w:jc w:val="right"/>
              <w:rPr>
                <w:rFonts w:asciiTheme="minorHAnsi" w:hAnsiTheme="minorHAnsi"/>
                <w:bCs/>
                <w:sz w:val="22"/>
                <w:lang w:eastAsia="sk-SK"/>
              </w:rPr>
            </w:pPr>
            <w:r>
              <w:rPr>
                <w:rFonts w:asciiTheme="minorHAnsi" w:hAnsiTheme="minorHAnsi"/>
                <w:color w:val="000000"/>
                <w:sz w:val="22"/>
                <w:lang w:eastAsia="sk-SK"/>
              </w:rPr>
              <w:t xml:space="preserve">   500 000   </w:t>
            </w: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Cs/>
                <w:sz w:val="22"/>
                <w:lang w:eastAsia="sk-SK"/>
              </w:rPr>
              <w:t>3.</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súvisiace so zvyšovaním kvality života obyvateľov – investície spojené s odstraňovaním malých tzv. divokých skládok odpadov resp. opusteného odpadu</w:t>
            </w: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c>
          <w:tcPr>
            <w:tcW w:w="1406"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Cs/>
                <w:sz w:val="22"/>
                <w:lang w:eastAsia="sk-SK"/>
              </w:rPr>
              <w:t>4.</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súvisiace s vytváraním podmienok pre rozvoj podnikania – rekonštrukcie nevyužívaných objektov v obci pre podnikateľskú činnosť, výstavba/rekonštrukcia tržníc pre podporu predaja miestnych produktov a pod.</w:t>
            </w: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c>
          <w:tcPr>
            <w:tcW w:w="1406"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lang w:eastAsia="sk-SK"/>
              </w:rPr>
            </w:pP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Cs/>
                <w:sz w:val="22"/>
                <w:lang w:eastAsia="sk-SK"/>
              </w:rPr>
              <w:t>5.</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do využívania OZE vrátane investícií spojenými s úsporou energie – len ako súčasť investícií do miestnych služieb</w:t>
            </w: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highlight w:val="yellow"/>
                <w:lang w:eastAsia="sk-SK"/>
              </w:rPr>
            </w:pPr>
          </w:p>
        </w:tc>
        <w:tc>
          <w:tcPr>
            <w:tcW w:w="1513"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highlight w:val="yellow"/>
                <w:lang w:eastAsia="sk-SK"/>
              </w:rPr>
            </w:pPr>
          </w:p>
        </w:tc>
        <w:tc>
          <w:tcPr>
            <w:tcW w:w="1406" w:type="dxa"/>
            <w:vMerge/>
            <w:shd w:val="clear" w:color="auto" w:fill="auto"/>
            <w:tcMar>
              <w:left w:w="108" w:type="dxa"/>
            </w:tcMar>
            <w:vAlign w:val="center"/>
          </w:tcPr>
          <w:p w:rsidR="00AE15C6" w:rsidRDefault="00AE15C6">
            <w:pPr>
              <w:tabs>
                <w:tab w:val="left" w:pos="567"/>
                <w:tab w:val="left" w:pos="611"/>
              </w:tabs>
              <w:spacing w:line="280" w:lineRule="exact"/>
              <w:jc w:val="right"/>
              <w:rPr>
                <w:rFonts w:asciiTheme="minorHAnsi" w:hAnsiTheme="minorHAnsi"/>
                <w:bCs/>
                <w:sz w:val="22"/>
                <w:highlight w:val="yellow"/>
                <w:lang w:eastAsia="sk-SK"/>
              </w:rPr>
            </w:pPr>
          </w:p>
        </w:tc>
      </w:tr>
      <w:tr w:rsidR="00AE15C6">
        <w:tc>
          <w:tcPr>
            <w:tcW w:w="1135" w:type="dxa"/>
            <w:shd w:val="clear" w:color="auto" w:fill="auto"/>
            <w:tcMar>
              <w:left w:w="108" w:type="dxa"/>
            </w:tcMar>
            <w:vAlign w:val="center"/>
          </w:tcPr>
          <w:p w:rsidR="00AE15C6" w:rsidRDefault="007C2CF9">
            <w:pPr>
              <w:tabs>
                <w:tab w:val="left" w:pos="567"/>
                <w:tab w:val="left" w:pos="611"/>
              </w:tabs>
              <w:spacing w:line="280" w:lineRule="exact"/>
              <w:jc w:val="center"/>
              <w:rPr>
                <w:rFonts w:asciiTheme="minorHAnsi" w:hAnsiTheme="minorHAnsi"/>
                <w:bCs/>
                <w:sz w:val="22"/>
                <w:lang w:eastAsia="sk-SK"/>
              </w:rPr>
            </w:pPr>
            <w:r>
              <w:rPr>
                <w:rFonts w:asciiTheme="minorHAnsi" w:hAnsiTheme="minorHAnsi"/>
                <w:bCs/>
                <w:sz w:val="22"/>
                <w:lang w:eastAsia="sk-SK"/>
              </w:rPr>
              <w:t>6.</w:t>
            </w:r>
          </w:p>
        </w:tc>
        <w:tc>
          <w:tcPr>
            <w:tcW w:w="3647"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color w:val="000000"/>
                <w:sz w:val="22"/>
                <w:lang w:eastAsia="sk-SK"/>
              </w:rPr>
            </w:pPr>
            <w:r>
              <w:rPr>
                <w:rFonts w:asciiTheme="minorHAnsi" w:hAnsiTheme="minorHAnsi"/>
                <w:color w:val="000000"/>
                <w:sz w:val="22"/>
                <w:lang w:eastAsia="sk-SK"/>
              </w:rPr>
              <w:t>investície súvisiace so zvýšením bezpečnosti t.j. nákup prídavných zariadení na komunálnu techniku na čistenie, údržbu zelene a zimnú údržbu ciest/miestnych komunikácií a chodníkov (malé zariadenia) a investície súvisiace so zvýšením bezpečnosti a prevencie proti vandalizmu na verejných priestoroch (montáž kamerových systémov a iných bezpečnostných prvkov)</w:t>
            </w:r>
          </w:p>
        </w:tc>
        <w:tc>
          <w:tcPr>
            <w:tcW w:w="1513" w:type="dxa"/>
            <w:shd w:val="clear" w:color="auto" w:fill="auto"/>
            <w:tcMar>
              <w:left w:w="108" w:type="dxa"/>
            </w:tcMar>
            <w:vAlign w:val="center"/>
          </w:tcPr>
          <w:p w:rsidR="00AE15C6" w:rsidRDefault="007C2CF9">
            <w:pPr>
              <w:tabs>
                <w:tab w:val="left" w:pos="567"/>
                <w:tab w:val="left" w:pos="611"/>
              </w:tabs>
              <w:spacing w:line="280" w:lineRule="exact"/>
              <w:jc w:val="right"/>
              <w:rPr>
                <w:rFonts w:asciiTheme="minorHAnsi" w:hAnsiTheme="minorHAnsi"/>
                <w:color w:val="000000"/>
                <w:sz w:val="22"/>
                <w:lang w:eastAsia="sk-SK"/>
              </w:rPr>
            </w:pPr>
            <w:r>
              <w:rPr>
                <w:rFonts w:asciiTheme="minorHAnsi" w:hAnsiTheme="minorHAnsi"/>
                <w:color w:val="000000"/>
                <w:sz w:val="22"/>
                <w:lang w:eastAsia="sk-SK"/>
              </w:rPr>
              <w:t>5 000 000</w:t>
            </w:r>
          </w:p>
        </w:tc>
        <w:tc>
          <w:tcPr>
            <w:tcW w:w="1513" w:type="dxa"/>
            <w:shd w:val="clear" w:color="auto" w:fill="auto"/>
            <w:tcMar>
              <w:left w:w="108" w:type="dxa"/>
            </w:tcMar>
            <w:vAlign w:val="center"/>
          </w:tcPr>
          <w:p w:rsidR="00AE15C6" w:rsidRDefault="007C2CF9">
            <w:pPr>
              <w:tabs>
                <w:tab w:val="left" w:pos="567"/>
                <w:tab w:val="left" w:pos="611"/>
              </w:tabs>
              <w:spacing w:line="280" w:lineRule="exact"/>
              <w:jc w:val="right"/>
              <w:rPr>
                <w:rFonts w:asciiTheme="minorHAnsi" w:hAnsiTheme="minorHAnsi"/>
                <w:color w:val="000000"/>
                <w:sz w:val="22"/>
                <w:lang w:eastAsia="sk-SK"/>
              </w:rPr>
            </w:pPr>
            <w:r>
              <w:rPr>
                <w:rFonts w:asciiTheme="minorHAnsi" w:hAnsiTheme="minorHAnsi"/>
                <w:color w:val="000000"/>
                <w:sz w:val="22"/>
                <w:lang w:eastAsia="sk-SK"/>
              </w:rPr>
              <w:t>4 900 000</w:t>
            </w:r>
          </w:p>
        </w:tc>
        <w:tc>
          <w:tcPr>
            <w:tcW w:w="1406" w:type="dxa"/>
            <w:shd w:val="clear" w:color="auto" w:fill="auto"/>
            <w:tcMar>
              <w:left w:w="108" w:type="dxa"/>
            </w:tcMar>
            <w:vAlign w:val="center"/>
          </w:tcPr>
          <w:p w:rsidR="00AE15C6" w:rsidRDefault="007C2CF9">
            <w:pPr>
              <w:tabs>
                <w:tab w:val="left" w:pos="567"/>
                <w:tab w:val="left" w:pos="611"/>
              </w:tabs>
              <w:spacing w:line="280" w:lineRule="exact"/>
              <w:jc w:val="right"/>
              <w:rPr>
                <w:rFonts w:asciiTheme="minorHAnsi" w:hAnsiTheme="minorHAnsi"/>
                <w:color w:val="000000"/>
                <w:sz w:val="22"/>
                <w:lang w:eastAsia="sk-SK"/>
              </w:rPr>
            </w:pPr>
            <w:r>
              <w:rPr>
                <w:rFonts w:asciiTheme="minorHAnsi" w:hAnsiTheme="minorHAnsi"/>
                <w:color w:val="000000"/>
                <w:sz w:val="22"/>
                <w:lang w:eastAsia="sk-SK"/>
              </w:rPr>
              <w:t>100 000</w:t>
            </w:r>
          </w:p>
        </w:tc>
      </w:tr>
    </w:tbl>
    <w:p w:rsidR="00AE15C6" w:rsidRDefault="00AE15C6">
      <w:pPr>
        <w:tabs>
          <w:tab w:val="left" w:pos="567"/>
          <w:tab w:val="left" w:pos="611"/>
        </w:tabs>
        <w:spacing w:line="280" w:lineRule="exact"/>
        <w:rPr>
          <w:rFonts w:asciiTheme="minorHAnsi" w:hAnsiTheme="minorHAnsi"/>
          <w:bCs/>
          <w:lang w:eastAsia="sk-SK"/>
        </w:rPr>
      </w:pPr>
    </w:p>
    <w:p w:rsidR="00AE15C6" w:rsidRDefault="00AE15C6">
      <w:pPr>
        <w:jc w:val="both"/>
      </w:pPr>
    </w:p>
    <w:p w:rsidR="00AE15C6" w:rsidRDefault="00AE15C6">
      <w:pPr>
        <w:jc w:val="both"/>
      </w:pPr>
    </w:p>
    <w:p w:rsidR="00AE15C6" w:rsidRDefault="007C2CF9">
      <w:pPr>
        <w:jc w:val="both"/>
        <w:rPr>
          <w:sz w:val="22"/>
          <w:szCs w:val="22"/>
          <w:lang w:eastAsia="en-US"/>
        </w:rPr>
      </w:pPr>
      <w:r>
        <w:t xml:space="preserve">Indikatívna výška finančných prostriedkov určených na vyčerpanie vo výzve predstavuje </w:t>
      </w:r>
      <w:r>
        <w:br/>
      </w:r>
      <w:r w:rsidR="0064527F" w:rsidRPr="0064527F">
        <w:rPr>
          <w:color w:val="FF0000"/>
        </w:rPr>
        <w:t>55 100 000</w:t>
      </w:r>
      <w:r w:rsidR="003355F2" w:rsidRPr="0064527F">
        <w:rPr>
          <w:dstrike/>
        </w:rPr>
        <w:t>35 000 000</w:t>
      </w:r>
      <w:bookmarkStart w:id="0" w:name="_GoBack"/>
      <w:r w:rsidRPr="00E20FB4">
        <w:t>,</w:t>
      </w:r>
      <w:bookmarkEnd w:id="0"/>
      <w:r w:rsidRPr="0064527F">
        <w:t>00</w:t>
      </w:r>
      <w:r>
        <w:t xml:space="preserve"> EUR v členení:</w:t>
      </w:r>
    </w:p>
    <w:p w:rsidR="00AE15C6" w:rsidRDefault="00AE15C6">
      <w:pPr>
        <w:ind w:left="709"/>
        <w:jc w:val="both"/>
      </w:pPr>
    </w:p>
    <w:tbl>
      <w:tblPr>
        <w:tblStyle w:val="Mriekatabuky"/>
        <w:tblW w:w="8353" w:type="dxa"/>
        <w:tblInd w:w="-5" w:type="dxa"/>
        <w:tblLook w:val="04A0" w:firstRow="1" w:lastRow="0" w:firstColumn="1" w:lastColumn="0" w:noHBand="0" w:noVBand="1"/>
      </w:tblPr>
      <w:tblGrid>
        <w:gridCol w:w="2762"/>
        <w:gridCol w:w="2806"/>
        <w:gridCol w:w="2785"/>
      </w:tblGrid>
      <w:tr w:rsidR="00AE15C6">
        <w:tc>
          <w:tcPr>
            <w:tcW w:w="2762" w:type="dxa"/>
            <w:shd w:val="clear" w:color="auto" w:fill="auto"/>
            <w:tcMar>
              <w:left w:w="108" w:type="dxa"/>
            </w:tcMar>
            <w:vAlign w:val="center"/>
          </w:tcPr>
          <w:p w:rsidR="00AE15C6" w:rsidRDefault="007C2CF9">
            <w:pPr>
              <w:pStyle w:val="Standard"/>
              <w:spacing w:line="280" w:lineRule="exact"/>
              <w:jc w:val="center"/>
              <w:rPr>
                <w:rFonts w:asciiTheme="minorHAnsi" w:hAnsiTheme="minorHAnsi"/>
                <w:sz w:val="22"/>
                <w:szCs w:val="22"/>
              </w:rPr>
            </w:pPr>
            <w:r>
              <w:rPr>
                <w:rFonts w:asciiTheme="minorHAnsi" w:hAnsiTheme="minorHAnsi"/>
                <w:b/>
                <w:bCs/>
                <w:color w:val="000000"/>
                <w:sz w:val="22"/>
                <w:szCs w:val="22"/>
                <w:lang w:eastAsia="sk-SK"/>
              </w:rPr>
              <w:t>zdroj EÚ + štátny rozpočet</w:t>
            </w:r>
          </w:p>
        </w:tc>
        <w:tc>
          <w:tcPr>
            <w:tcW w:w="2806" w:type="dxa"/>
            <w:shd w:val="clear" w:color="auto" w:fill="auto"/>
            <w:tcMar>
              <w:left w:w="108" w:type="dxa"/>
            </w:tcMar>
            <w:vAlign w:val="center"/>
          </w:tcPr>
          <w:p w:rsidR="00AE15C6" w:rsidRDefault="007C2CF9">
            <w:pPr>
              <w:pStyle w:val="Standard"/>
              <w:spacing w:line="280" w:lineRule="exact"/>
              <w:jc w:val="center"/>
              <w:rPr>
                <w:rFonts w:asciiTheme="minorHAnsi" w:hAnsiTheme="minorHAnsi"/>
                <w:sz w:val="22"/>
                <w:szCs w:val="22"/>
              </w:rPr>
            </w:pPr>
            <w:r>
              <w:rPr>
                <w:rFonts w:asciiTheme="minorHAnsi" w:hAnsiTheme="minorHAnsi"/>
                <w:b/>
                <w:bCs/>
                <w:color w:val="000000"/>
                <w:sz w:val="22"/>
                <w:szCs w:val="22"/>
                <w:lang w:eastAsia="sk-SK"/>
              </w:rPr>
              <w:t>menej rozvinuté regióny</w:t>
            </w:r>
          </w:p>
        </w:tc>
        <w:tc>
          <w:tcPr>
            <w:tcW w:w="2785" w:type="dxa"/>
            <w:shd w:val="clear" w:color="auto" w:fill="auto"/>
            <w:tcMar>
              <w:left w:w="108" w:type="dxa"/>
            </w:tcMar>
            <w:vAlign w:val="center"/>
          </w:tcPr>
          <w:p w:rsidR="00AE15C6" w:rsidRDefault="007C2CF9">
            <w:pPr>
              <w:pStyle w:val="Standard"/>
              <w:spacing w:line="280" w:lineRule="exact"/>
              <w:jc w:val="center"/>
              <w:rPr>
                <w:rFonts w:asciiTheme="minorHAnsi" w:hAnsiTheme="minorHAnsi"/>
                <w:sz w:val="22"/>
                <w:szCs w:val="22"/>
              </w:rPr>
            </w:pPr>
            <w:r>
              <w:rPr>
                <w:rFonts w:asciiTheme="minorHAnsi" w:hAnsiTheme="minorHAnsi"/>
                <w:b/>
                <w:bCs/>
                <w:color w:val="000000"/>
                <w:sz w:val="22"/>
                <w:szCs w:val="22"/>
                <w:lang w:eastAsia="sk-SK"/>
              </w:rPr>
              <w:t>viac rozvinutý región/ostatné regióny</w:t>
            </w:r>
          </w:p>
        </w:tc>
      </w:tr>
      <w:tr w:rsidR="00AE15C6">
        <w:tc>
          <w:tcPr>
            <w:tcW w:w="2762" w:type="dxa"/>
            <w:shd w:val="clear" w:color="auto" w:fill="auto"/>
            <w:tcMar>
              <w:left w:w="108" w:type="dxa"/>
            </w:tcMar>
            <w:vAlign w:val="center"/>
          </w:tcPr>
          <w:p w:rsidR="00AE15C6" w:rsidRDefault="007C2CF9">
            <w:pPr>
              <w:pStyle w:val="Standard"/>
              <w:spacing w:line="280" w:lineRule="exact"/>
              <w:ind w:left="284"/>
              <w:rPr>
                <w:rFonts w:asciiTheme="minorHAnsi" w:hAnsiTheme="minorHAnsi"/>
                <w:b/>
                <w:sz w:val="22"/>
                <w:szCs w:val="22"/>
              </w:rPr>
            </w:pPr>
            <w:r>
              <w:rPr>
                <w:rFonts w:asciiTheme="minorHAnsi" w:hAnsiTheme="minorHAnsi"/>
                <w:b/>
                <w:sz w:val="22"/>
                <w:szCs w:val="22"/>
              </w:rPr>
              <w:t>EÚ</w:t>
            </w:r>
          </w:p>
        </w:tc>
        <w:tc>
          <w:tcPr>
            <w:tcW w:w="2806" w:type="dxa"/>
            <w:shd w:val="clear" w:color="auto" w:fill="auto"/>
            <w:tcMar>
              <w:left w:w="108" w:type="dxa"/>
            </w:tcMar>
            <w:vAlign w:val="center"/>
          </w:tcPr>
          <w:p w:rsidR="0064527F" w:rsidRPr="0064527F" w:rsidRDefault="0064527F">
            <w:pPr>
              <w:pStyle w:val="Standard"/>
              <w:spacing w:line="280" w:lineRule="exact"/>
              <w:ind w:right="227"/>
              <w:jc w:val="right"/>
              <w:rPr>
                <w:rFonts w:asciiTheme="minorHAnsi" w:hAnsiTheme="minorHAnsi"/>
                <w:color w:val="FF0000"/>
                <w:sz w:val="22"/>
                <w:szCs w:val="22"/>
              </w:rPr>
            </w:pPr>
            <w:r w:rsidRPr="0064527F">
              <w:rPr>
                <w:rFonts w:asciiTheme="minorHAnsi" w:hAnsiTheme="minorHAnsi"/>
                <w:color w:val="FF0000"/>
                <w:sz w:val="22"/>
                <w:szCs w:val="22"/>
              </w:rPr>
              <w:t>40 500 000,00</w:t>
            </w:r>
          </w:p>
          <w:p w:rsidR="003355F2" w:rsidRPr="0064527F" w:rsidRDefault="003355F2">
            <w:pPr>
              <w:pStyle w:val="Standard"/>
              <w:spacing w:line="280" w:lineRule="exact"/>
              <w:ind w:right="227"/>
              <w:jc w:val="right"/>
              <w:rPr>
                <w:rFonts w:asciiTheme="minorHAnsi" w:hAnsiTheme="minorHAnsi"/>
                <w:dstrike/>
                <w:sz w:val="22"/>
                <w:szCs w:val="22"/>
              </w:rPr>
            </w:pPr>
            <w:r w:rsidRPr="0064527F">
              <w:rPr>
                <w:rFonts w:asciiTheme="minorHAnsi" w:hAnsiTheme="minorHAnsi"/>
                <w:dstrike/>
                <w:sz w:val="22"/>
                <w:szCs w:val="22"/>
              </w:rPr>
              <w:t>25 425 000,00</w:t>
            </w:r>
          </w:p>
        </w:tc>
        <w:tc>
          <w:tcPr>
            <w:tcW w:w="2785" w:type="dxa"/>
            <w:shd w:val="clear" w:color="auto" w:fill="auto"/>
            <w:tcMar>
              <w:left w:w="108" w:type="dxa"/>
            </w:tcMar>
            <w:vAlign w:val="center"/>
          </w:tcPr>
          <w:p w:rsidR="00AE15C6" w:rsidRDefault="007C2CF9">
            <w:pPr>
              <w:pStyle w:val="Standard"/>
              <w:spacing w:line="280" w:lineRule="exact"/>
              <w:ind w:right="227"/>
              <w:jc w:val="right"/>
              <w:rPr>
                <w:rFonts w:asciiTheme="minorHAnsi" w:hAnsiTheme="minorHAnsi"/>
                <w:sz w:val="22"/>
                <w:szCs w:val="22"/>
              </w:rPr>
            </w:pPr>
            <w:r>
              <w:rPr>
                <w:rFonts w:asciiTheme="minorHAnsi" w:hAnsiTheme="minorHAnsi"/>
                <w:sz w:val="22"/>
                <w:szCs w:val="22"/>
              </w:rPr>
              <w:t>583 000,00</w:t>
            </w:r>
          </w:p>
        </w:tc>
      </w:tr>
      <w:tr w:rsidR="00AE15C6">
        <w:tc>
          <w:tcPr>
            <w:tcW w:w="2762" w:type="dxa"/>
            <w:shd w:val="clear" w:color="auto" w:fill="auto"/>
            <w:tcMar>
              <w:left w:w="108" w:type="dxa"/>
            </w:tcMar>
            <w:vAlign w:val="center"/>
          </w:tcPr>
          <w:p w:rsidR="00AE15C6" w:rsidRDefault="007C2CF9">
            <w:pPr>
              <w:pStyle w:val="Standard"/>
              <w:spacing w:line="280" w:lineRule="exact"/>
              <w:ind w:left="284"/>
              <w:rPr>
                <w:rFonts w:asciiTheme="minorHAnsi" w:hAnsiTheme="minorHAnsi"/>
                <w:b/>
                <w:sz w:val="22"/>
                <w:szCs w:val="22"/>
              </w:rPr>
            </w:pPr>
            <w:r>
              <w:rPr>
                <w:rFonts w:asciiTheme="minorHAnsi" w:hAnsiTheme="minorHAnsi"/>
                <w:b/>
                <w:sz w:val="22"/>
                <w:szCs w:val="22"/>
              </w:rPr>
              <w:t>štátny rozpočet</w:t>
            </w:r>
          </w:p>
        </w:tc>
        <w:tc>
          <w:tcPr>
            <w:tcW w:w="2806" w:type="dxa"/>
            <w:shd w:val="clear" w:color="auto" w:fill="auto"/>
            <w:tcMar>
              <w:left w:w="108" w:type="dxa"/>
            </w:tcMar>
            <w:vAlign w:val="center"/>
          </w:tcPr>
          <w:p w:rsidR="0064527F" w:rsidRPr="0064527F" w:rsidRDefault="0064527F">
            <w:pPr>
              <w:pStyle w:val="Standard"/>
              <w:spacing w:line="280" w:lineRule="exact"/>
              <w:ind w:right="227"/>
              <w:jc w:val="right"/>
              <w:rPr>
                <w:rFonts w:asciiTheme="minorHAnsi" w:hAnsiTheme="minorHAnsi"/>
                <w:color w:val="FF0000"/>
                <w:sz w:val="22"/>
                <w:szCs w:val="22"/>
              </w:rPr>
            </w:pPr>
            <w:r w:rsidRPr="0064527F">
              <w:rPr>
                <w:rFonts w:asciiTheme="minorHAnsi" w:hAnsiTheme="minorHAnsi"/>
                <w:color w:val="FF0000"/>
                <w:sz w:val="22"/>
                <w:szCs w:val="22"/>
              </w:rPr>
              <w:t>13 500 000,00</w:t>
            </w:r>
          </w:p>
          <w:p w:rsidR="003355F2" w:rsidRPr="0064527F" w:rsidRDefault="003355F2">
            <w:pPr>
              <w:pStyle w:val="Standard"/>
              <w:spacing w:line="280" w:lineRule="exact"/>
              <w:ind w:right="227"/>
              <w:jc w:val="right"/>
              <w:rPr>
                <w:rFonts w:asciiTheme="minorHAnsi" w:hAnsiTheme="minorHAnsi"/>
                <w:dstrike/>
                <w:sz w:val="22"/>
                <w:szCs w:val="22"/>
              </w:rPr>
            </w:pPr>
            <w:r w:rsidRPr="0064527F">
              <w:rPr>
                <w:rFonts w:asciiTheme="minorHAnsi" w:hAnsiTheme="minorHAnsi"/>
                <w:dstrike/>
                <w:sz w:val="22"/>
                <w:szCs w:val="22"/>
              </w:rPr>
              <w:t>8 475 000,00</w:t>
            </w:r>
          </w:p>
        </w:tc>
        <w:tc>
          <w:tcPr>
            <w:tcW w:w="2785" w:type="dxa"/>
            <w:shd w:val="clear" w:color="auto" w:fill="auto"/>
            <w:tcMar>
              <w:left w:w="108" w:type="dxa"/>
            </w:tcMar>
            <w:vAlign w:val="center"/>
          </w:tcPr>
          <w:p w:rsidR="00AE15C6" w:rsidRDefault="007C2CF9">
            <w:pPr>
              <w:pStyle w:val="Standard"/>
              <w:spacing w:line="280" w:lineRule="exact"/>
              <w:ind w:right="227"/>
              <w:jc w:val="right"/>
              <w:rPr>
                <w:rFonts w:asciiTheme="minorHAnsi" w:hAnsiTheme="minorHAnsi"/>
                <w:sz w:val="22"/>
                <w:szCs w:val="22"/>
              </w:rPr>
            </w:pPr>
            <w:r>
              <w:rPr>
                <w:rFonts w:asciiTheme="minorHAnsi" w:hAnsiTheme="minorHAnsi"/>
                <w:sz w:val="22"/>
                <w:szCs w:val="22"/>
              </w:rPr>
              <w:t>517 000,00</w:t>
            </w:r>
          </w:p>
        </w:tc>
      </w:tr>
      <w:tr w:rsidR="00AE15C6">
        <w:tc>
          <w:tcPr>
            <w:tcW w:w="2762" w:type="dxa"/>
            <w:shd w:val="clear" w:color="auto" w:fill="auto"/>
            <w:tcMar>
              <w:left w:w="108" w:type="dxa"/>
            </w:tcMar>
            <w:vAlign w:val="center"/>
          </w:tcPr>
          <w:p w:rsidR="00AE15C6" w:rsidRDefault="007C2CF9">
            <w:pPr>
              <w:pStyle w:val="Standard"/>
              <w:spacing w:line="280" w:lineRule="exact"/>
              <w:ind w:left="284"/>
              <w:rPr>
                <w:rFonts w:asciiTheme="minorHAnsi" w:hAnsiTheme="minorHAnsi"/>
                <w:b/>
                <w:sz w:val="22"/>
                <w:szCs w:val="22"/>
              </w:rPr>
            </w:pPr>
            <w:r>
              <w:rPr>
                <w:rFonts w:asciiTheme="minorHAnsi" w:hAnsiTheme="minorHAnsi"/>
                <w:b/>
                <w:sz w:val="22"/>
                <w:szCs w:val="22"/>
              </w:rPr>
              <w:t>Spolu</w:t>
            </w:r>
          </w:p>
        </w:tc>
        <w:tc>
          <w:tcPr>
            <w:tcW w:w="2806" w:type="dxa"/>
            <w:shd w:val="clear" w:color="auto" w:fill="auto"/>
            <w:tcMar>
              <w:left w:w="108" w:type="dxa"/>
            </w:tcMar>
            <w:vAlign w:val="center"/>
          </w:tcPr>
          <w:p w:rsidR="0064527F" w:rsidRPr="0064527F" w:rsidRDefault="0064527F">
            <w:pPr>
              <w:pStyle w:val="Standard"/>
              <w:spacing w:line="280" w:lineRule="exact"/>
              <w:ind w:right="227"/>
              <w:jc w:val="right"/>
              <w:rPr>
                <w:rFonts w:asciiTheme="minorHAnsi" w:hAnsiTheme="minorHAnsi" w:cstheme="minorHAnsi"/>
                <w:color w:val="FF0000"/>
                <w:sz w:val="22"/>
                <w:szCs w:val="22"/>
                <w:lang w:eastAsia="sk-SK"/>
              </w:rPr>
            </w:pPr>
            <w:r w:rsidRPr="0064527F">
              <w:rPr>
                <w:rFonts w:asciiTheme="minorHAnsi" w:hAnsiTheme="minorHAnsi" w:cstheme="minorHAnsi"/>
                <w:color w:val="FF0000"/>
                <w:sz w:val="22"/>
                <w:szCs w:val="22"/>
                <w:lang w:eastAsia="sk-SK"/>
              </w:rPr>
              <w:t>54 000 000,00</w:t>
            </w:r>
          </w:p>
          <w:p w:rsidR="003355F2" w:rsidRPr="0064527F" w:rsidRDefault="003355F2">
            <w:pPr>
              <w:pStyle w:val="Standard"/>
              <w:spacing w:line="280" w:lineRule="exact"/>
              <w:ind w:right="227"/>
              <w:jc w:val="right"/>
              <w:rPr>
                <w:rFonts w:asciiTheme="minorHAnsi" w:hAnsiTheme="minorHAnsi" w:cstheme="minorHAnsi"/>
                <w:dstrike/>
                <w:sz w:val="22"/>
                <w:szCs w:val="22"/>
              </w:rPr>
            </w:pPr>
            <w:r w:rsidRPr="0064527F">
              <w:rPr>
                <w:rFonts w:asciiTheme="minorHAnsi" w:hAnsiTheme="minorHAnsi" w:cstheme="minorHAnsi"/>
                <w:dstrike/>
                <w:sz w:val="22"/>
                <w:szCs w:val="22"/>
                <w:lang w:eastAsia="sk-SK"/>
              </w:rPr>
              <w:t>33 900 000,00</w:t>
            </w:r>
          </w:p>
        </w:tc>
        <w:tc>
          <w:tcPr>
            <w:tcW w:w="2785" w:type="dxa"/>
            <w:shd w:val="clear" w:color="auto" w:fill="auto"/>
            <w:tcMar>
              <w:left w:w="108" w:type="dxa"/>
            </w:tcMar>
            <w:vAlign w:val="center"/>
          </w:tcPr>
          <w:p w:rsidR="00AE15C6" w:rsidRDefault="007C2CF9">
            <w:pPr>
              <w:pStyle w:val="Standard"/>
              <w:spacing w:line="280" w:lineRule="exact"/>
              <w:ind w:right="227"/>
              <w:jc w:val="right"/>
              <w:rPr>
                <w:rFonts w:asciiTheme="minorHAnsi" w:hAnsiTheme="minorHAnsi"/>
                <w:sz w:val="22"/>
                <w:szCs w:val="22"/>
              </w:rPr>
            </w:pPr>
            <w:r>
              <w:rPr>
                <w:rFonts w:asciiTheme="minorHAnsi" w:hAnsiTheme="minorHAnsi"/>
                <w:color w:val="000000"/>
                <w:sz w:val="22"/>
                <w:szCs w:val="22"/>
                <w:lang w:eastAsia="sk-SK"/>
              </w:rPr>
              <w:t>1 100 000,00</w:t>
            </w:r>
          </w:p>
        </w:tc>
      </w:tr>
    </w:tbl>
    <w:p w:rsidR="00AE15C6" w:rsidRDefault="00AE15C6">
      <w:pPr>
        <w:tabs>
          <w:tab w:val="left" w:pos="567"/>
          <w:tab w:val="left" w:pos="611"/>
        </w:tabs>
        <w:spacing w:line="280" w:lineRule="exact"/>
        <w:rPr>
          <w:rFonts w:asciiTheme="minorHAnsi" w:hAnsiTheme="minorHAnsi"/>
          <w:bCs/>
          <w:lang w:eastAsia="sk-SK"/>
        </w:rPr>
      </w:pPr>
    </w:p>
    <w:p w:rsidR="00AE15C6" w:rsidRDefault="00AE15C6">
      <w:pPr>
        <w:tabs>
          <w:tab w:val="left" w:pos="426"/>
        </w:tabs>
        <w:spacing w:line="280" w:lineRule="exact"/>
        <w:jc w:val="both"/>
        <w:rPr>
          <w:rFonts w:asciiTheme="minorHAnsi" w:hAnsiTheme="minorHAnsi"/>
          <w:b/>
        </w:rPr>
      </w:pPr>
    </w:p>
    <w:p w:rsidR="003355F2" w:rsidRDefault="003355F2">
      <w:pPr>
        <w:tabs>
          <w:tab w:val="left" w:pos="426"/>
        </w:tabs>
        <w:spacing w:line="280" w:lineRule="exact"/>
        <w:jc w:val="both"/>
        <w:rPr>
          <w:rFonts w:asciiTheme="minorHAnsi" w:hAnsiTheme="minorHAnsi"/>
          <w:b/>
        </w:rPr>
      </w:pPr>
    </w:p>
    <w:p w:rsidR="003355F2" w:rsidRDefault="003355F2">
      <w:pPr>
        <w:tabs>
          <w:tab w:val="left" w:pos="426"/>
        </w:tabs>
        <w:spacing w:line="280" w:lineRule="exact"/>
        <w:jc w:val="both"/>
        <w:rPr>
          <w:rFonts w:asciiTheme="minorHAnsi" w:hAnsiTheme="minorHAnsi"/>
          <w:b/>
        </w:rPr>
      </w:pPr>
    </w:p>
    <w:p w:rsidR="00AE15C6" w:rsidRDefault="00AE15C6">
      <w:pPr>
        <w:tabs>
          <w:tab w:val="left" w:pos="426"/>
        </w:tabs>
        <w:spacing w:line="280" w:lineRule="exact"/>
        <w:jc w:val="both"/>
        <w:rPr>
          <w:rFonts w:asciiTheme="minorHAnsi" w:hAnsiTheme="minorHAnsi"/>
          <w:b/>
        </w:rPr>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Výška oprávnených výdavkov (OV) na jeden projekt:</w:t>
      </w:r>
    </w:p>
    <w:p w:rsidR="00AE15C6" w:rsidRDefault="00AE15C6">
      <w:pPr>
        <w:tabs>
          <w:tab w:val="left" w:pos="289"/>
        </w:tabs>
        <w:spacing w:line="280" w:lineRule="exact"/>
        <w:ind w:left="567"/>
        <w:jc w:val="both"/>
        <w:rPr>
          <w:rFonts w:asciiTheme="minorHAnsi" w:hAnsiTheme="minorHAnsi"/>
          <w:b/>
        </w:rPr>
      </w:pPr>
    </w:p>
    <w:tbl>
      <w:tblPr>
        <w:tblStyle w:val="Mriekatabuky"/>
        <w:tblW w:w="9214" w:type="dxa"/>
        <w:tblInd w:w="-34" w:type="dxa"/>
        <w:tblLook w:val="04A0" w:firstRow="1" w:lastRow="0" w:firstColumn="1" w:lastColumn="0" w:noHBand="0" w:noVBand="1"/>
      </w:tblPr>
      <w:tblGrid>
        <w:gridCol w:w="1135"/>
        <w:gridCol w:w="6378"/>
        <w:gridCol w:w="1701"/>
      </w:tblGrid>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b/>
              </w:rPr>
            </w:pPr>
            <w:r>
              <w:rPr>
                <w:rFonts w:asciiTheme="minorHAnsi" w:hAnsiTheme="minorHAnsi"/>
                <w:b/>
                <w:color w:val="000000"/>
                <w:lang w:eastAsia="sk-SK"/>
              </w:rPr>
              <w:t>Aktivita</w:t>
            </w:r>
          </w:p>
        </w:tc>
        <w:tc>
          <w:tcPr>
            <w:tcW w:w="6378"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b/>
              </w:rPr>
            </w:pPr>
            <w:r>
              <w:rPr>
                <w:rFonts w:asciiTheme="minorHAnsi" w:hAnsiTheme="minorHAnsi"/>
                <w:b/>
                <w:color w:val="000000"/>
                <w:lang w:eastAsia="sk-SK"/>
              </w:rPr>
              <w:t>Zameranie</w:t>
            </w:r>
          </w:p>
        </w:tc>
        <w:tc>
          <w:tcPr>
            <w:tcW w:w="1701"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b/>
              </w:rPr>
            </w:pPr>
            <w:r>
              <w:rPr>
                <w:rFonts w:asciiTheme="minorHAnsi" w:hAnsiTheme="minorHAnsi"/>
                <w:b/>
                <w:color w:val="000000"/>
                <w:lang w:eastAsia="sk-SK"/>
              </w:rPr>
              <w:t>Min. a max. výška OV na jeden projekt (v EUR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rPr>
            </w:pPr>
            <w:r>
              <w:rPr>
                <w:rFonts w:asciiTheme="minorHAnsi" w:hAnsiTheme="minorHAnsi"/>
                <w:color w:val="000000"/>
                <w:lang w:eastAsia="sk-SK"/>
              </w:rPr>
              <w:t>1.</w:t>
            </w:r>
          </w:p>
        </w:tc>
        <w:tc>
          <w:tcPr>
            <w:tcW w:w="6378" w:type="dxa"/>
            <w:shd w:val="clear" w:color="auto" w:fill="auto"/>
            <w:tcMar>
              <w:left w:w="108" w:type="dxa"/>
            </w:tcMar>
            <w:vAlign w:val="center"/>
          </w:tcPr>
          <w:p w:rsidR="00AE15C6" w:rsidRDefault="007C2CF9">
            <w:pPr>
              <w:tabs>
                <w:tab w:val="left" w:pos="567"/>
                <w:tab w:val="left" w:pos="611"/>
              </w:tabs>
              <w:spacing w:line="280" w:lineRule="exact"/>
              <w:rPr>
                <w:rFonts w:asciiTheme="minorHAnsi" w:hAnsiTheme="minorHAnsi"/>
                <w:bCs/>
                <w:sz w:val="22"/>
                <w:lang w:eastAsia="sk-SK"/>
              </w:rPr>
            </w:pPr>
            <w:r>
              <w:rPr>
                <w:rFonts w:asciiTheme="minorHAnsi" w:hAnsiTheme="minorHAnsi"/>
                <w:color w:val="000000"/>
                <w:sz w:val="22"/>
                <w:lang w:eastAsia="sk-SK"/>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tc>
        <w:tc>
          <w:tcPr>
            <w:tcW w:w="1701" w:type="dxa"/>
            <w:shd w:val="clear" w:color="auto" w:fill="auto"/>
            <w:tcMar>
              <w:left w:w="108" w:type="dxa"/>
            </w:tcMar>
            <w:vAlign w:val="center"/>
          </w:tcPr>
          <w:p w:rsidR="00AE15C6" w:rsidRDefault="007C2CF9">
            <w:pPr>
              <w:tabs>
                <w:tab w:val="right" w:pos="1452"/>
              </w:tabs>
              <w:suppressAutoHyphens w:val="0"/>
              <w:rPr>
                <w:rFonts w:asciiTheme="minorHAnsi" w:hAnsiTheme="minorHAnsi"/>
                <w:color w:val="000000"/>
                <w:lang w:eastAsia="sk-SK"/>
              </w:rPr>
            </w:pPr>
            <w:r>
              <w:rPr>
                <w:rFonts w:asciiTheme="minorHAnsi" w:hAnsiTheme="minorHAnsi"/>
                <w:color w:val="000000"/>
                <w:lang w:eastAsia="sk-SK"/>
              </w:rPr>
              <w:t>Min.:    10 000</w:t>
            </w:r>
          </w:p>
          <w:p w:rsidR="00AE15C6" w:rsidRDefault="007C2CF9">
            <w:pPr>
              <w:tabs>
                <w:tab w:val="left" w:pos="289"/>
                <w:tab w:val="right" w:pos="1452"/>
              </w:tabs>
              <w:spacing w:line="280" w:lineRule="exact"/>
              <w:rPr>
                <w:rFonts w:asciiTheme="minorHAnsi" w:hAnsiTheme="minorHAnsi"/>
                <w:b/>
              </w:rPr>
            </w:pPr>
            <w:r>
              <w:rPr>
                <w:rFonts w:asciiTheme="minorHAnsi" w:hAnsiTheme="minorHAnsi"/>
                <w:color w:val="000000"/>
                <w:lang w:eastAsia="sk-SK"/>
              </w:rPr>
              <w:t xml:space="preserve">Max.: 150 000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rPr>
            </w:pPr>
            <w:r>
              <w:rPr>
                <w:rFonts w:asciiTheme="minorHAnsi" w:hAnsiTheme="minorHAnsi"/>
                <w:color w:val="000000"/>
                <w:lang w:eastAsia="sk-SK"/>
              </w:rPr>
              <w:t>2.</w:t>
            </w:r>
          </w:p>
        </w:tc>
        <w:tc>
          <w:tcPr>
            <w:tcW w:w="6378"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sz w:val="22"/>
                <w:lang w:eastAsia="sk-SK"/>
              </w:rPr>
              <w:t>investície zamerané na zriadenie nových, prístavba, prestavba, rekonštrukcia a modernizácia existujúcich domov smútku vrátane ich okolia</w:t>
            </w:r>
          </w:p>
        </w:tc>
        <w:tc>
          <w:tcPr>
            <w:tcW w:w="1701" w:type="dxa"/>
            <w:shd w:val="clear" w:color="auto" w:fill="auto"/>
            <w:tcMar>
              <w:left w:w="108" w:type="dxa"/>
            </w:tcMar>
            <w:vAlign w:val="center"/>
          </w:tcPr>
          <w:p w:rsidR="00AE15C6" w:rsidRDefault="007C2CF9">
            <w:pPr>
              <w:tabs>
                <w:tab w:val="left" w:pos="297"/>
              </w:tabs>
              <w:suppressAutoHyphens w:val="0"/>
              <w:rPr>
                <w:rFonts w:asciiTheme="minorHAnsi" w:hAnsiTheme="minorHAnsi"/>
                <w:color w:val="000000"/>
                <w:lang w:eastAsia="sk-SK"/>
              </w:rPr>
            </w:pPr>
            <w:r>
              <w:rPr>
                <w:rFonts w:asciiTheme="minorHAnsi" w:hAnsiTheme="minorHAnsi"/>
                <w:color w:val="000000"/>
                <w:lang w:eastAsia="sk-SK"/>
              </w:rPr>
              <w:t xml:space="preserve">Min.:    10 000                 </w:t>
            </w:r>
          </w:p>
          <w:p w:rsidR="00AE15C6" w:rsidRDefault="007C2CF9">
            <w:pPr>
              <w:tabs>
                <w:tab w:val="left" w:pos="289"/>
              </w:tabs>
              <w:spacing w:line="280" w:lineRule="exact"/>
              <w:jc w:val="both"/>
              <w:rPr>
                <w:rFonts w:asciiTheme="minorHAnsi" w:hAnsiTheme="minorHAnsi"/>
                <w:b/>
              </w:rPr>
            </w:pPr>
            <w:r>
              <w:rPr>
                <w:rFonts w:asciiTheme="minorHAnsi" w:hAnsiTheme="minorHAnsi"/>
                <w:color w:val="000000"/>
                <w:lang w:eastAsia="sk-SK"/>
              </w:rPr>
              <w:t xml:space="preserve">Max.: 120 000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rPr>
            </w:pPr>
            <w:r>
              <w:rPr>
                <w:rFonts w:asciiTheme="minorHAnsi" w:hAnsiTheme="minorHAnsi"/>
                <w:color w:val="000000"/>
                <w:lang w:eastAsia="sk-SK"/>
              </w:rPr>
              <w:t>3.</w:t>
            </w:r>
          </w:p>
        </w:tc>
        <w:tc>
          <w:tcPr>
            <w:tcW w:w="6378"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súvisiace so zvyšovaním kvality života obyvateľov – investície spojené s odstraňovaním malých tzv. divokých skládok odpadov resp. opusteného odpadu</w:t>
            </w:r>
          </w:p>
        </w:tc>
        <w:tc>
          <w:tcPr>
            <w:tcW w:w="1701" w:type="dxa"/>
            <w:shd w:val="clear" w:color="auto" w:fill="auto"/>
            <w:tcMar>
              <w:left w:w="108" w:type="dxa"/>
            </w:tcMar>
            <w:vAlign w:val="center"/>
          </w:tcPr>
          <w:p w:rsidR="00AE15C6" w:rsidRDefault="007C2CF9">
            <w:pPr>
              <w:tabs>
                <w:tab w:val="left" w:pos="289"/>
              </w:tabs>
              <w:spacing w:line="280" w:lineRule="exact"/>
              <w:rPr>
                <w:rFonts w:asciiTheme="minorHAnsi" w:hAnsiTheme="minorHAnsi"/>
                <w:b/>
              </w:rPr>
            </w:pPr>
            <w:r>
              <w:rPr>
                <w:rFonts w:asciiTheme="minorHAnsi" w:hAnsiTheme="minorHAnsi"/>
                <w:color w:val="000000"/>
                <w:lang w:eastAsia="sk-SK"/>
              </w:rPr>
              <w:t xml:space="preserve">Min.:    10 000                 Max.:   50 000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rPr>
            </w:pPr>
            <w:r>
              <w:rPr>
                <w:rFonts w:asciiTheme="minorHAnsi" w:hAnsiTheme="minorHAnsi"/>
                <w:color w:val="000000"/>
                <w:lang w:eastAsia="sk-SK"/>
              </w:rPr>
              <w:t>4.</w:t>
            </w:r>
          </w:p>
        </w:tc>
        <w:tc>
          <w:tcPr>
            <w:tcW w:w="6378"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súvisiace s vytváraním podmienok pre rozvoj podnikania – rekonštrukcie nevyužívaných objektov v obci pre podnikateľskú činnosť, výstavba/rekonštrukcia tržníc pre podporu predaja miestnych produktov a pod.</w:t>
            </w:r>
          </w:p>
        </w:tc>
        <w:tc>
          <w:tcPr>
            <w:tcW w:w="1701" w:type="dxa"/>
            <w:shd w:val="clear" w:color="auto" w:fill="auto"/>
            <w:tcMar>
              <w:left w:w="108" w:type="dxa"/>
            </w:tcMar>
            <w:vAlign w:val="center"/>
          </w:tcPr>
          <w:p w:rsidR="00AE15C6" w:rsidRDefault="007C2CF9">
            <w:pPr>
              <w:tabs>
                <w:tab w:val="left" w:pos="297"/>
              </w:tabs>
              <w:suppressAutoHyphens w:val="0"/>
              <w:rPr>
                <w:rFonts w:asciiTheme="minorHAnsi" w:hAnsiTheme="minorHAnsi"/>
                <w:color w:val="000000"/>
                <w:lang w:eastAsia="sk-SK"/>
              </w:rPr>
            </w:pPr>
            <w:r>
              <w:rPr>
                <w:rFonts w:asciiTheme="minorHAnsi" w:hAnsiTheme="minorHAnsi"/>
                <w:color w:val="000000"/>
                <w:lang w:eastAsia="sk-SK"/>
              </w:rPr>
              <w:t xml:space="preserve">Min.:    10 000                 </w:t>
            </w:r>
          </w:p>
          <w:p w:rsidR="00AE15C6" w:rsidRDefault="007C2CF9">
            <w:pPr>
              <w:tabs>
                <w:tab w:val="left" w:pos="289"/>
              </w:tabs>
              <w:spacing w:line="280" w:lineRule="exact"/>
              <w:jc w:val="both"/>
              <w:rPr>
                <w:rFonts w:asciiTheme="minorHAnsi" w:hAnsiTheme="minorHAnsi"/>
                <w:b/>
              </w:rPr>
            </w:pPr>
            <w:r>
              <w:rPr>
                <w:rFonts w:asciiTheme="minorHAnsi" w:hAnsiTheme="minorHAnsi"/>
                <w:color w:val="000000"/>
                <w:lang w:eastAsia="sk-SK"/>
              </w:rPr>
              <w:t xml:space="preserve">Max.: 200 000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color w:val="000000"/>
                <w:lang w:eastAsia="sk-SK"/>
              </w:rPr>
            </w:pPr>
            <w:r>
              <w:rPr>
                <w:rFonts w:asciiTheme="minorHAnsi" w:hAnsiTheme="minorHAnsi"/>
                <w:color w:val="000000"/>
                <w:lang w:eastAsia="sk-SK"/>
              </w:rPr>
              <w:t>5.</w:t>
            </w:r>
          </w:p>
        </w:tc>
        <w:tc>
          <w:tcPr>
            <w:tcW w:w="6378"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bCs/>
                <w:sz w:val="22"/>
                <w:lang w:eastAsia="sk-SK"/>
              </w:rPr>
            </w:pPr>
            <w:r>
              <w:rPr>
                <w:rFonts w:asciiTheme="minorHAnsi" w:hAnsiTheme="minorHAnsi"/>
                <w:color w:val="000000"/>
                <w:sz w:val="22"/>
                <w:lang w:eastAsia="sk-SK"/>
              </w:rPr>
              <w:t>investície do využívania OZE vrátane investícií spojenými s úsporou energie – len ako súčasť investícií do miestnych služieb</w:t>
            </w:r>
          </w:p>
        </w:tc>
        <w:tc>
          <w:tcPr>
            <w:tcW w:w="1701" w:type="dxa"/>
            <w:shd w:val="clear" w:color="auto" w:fill="auto"/>
            <w:tcMar>
              <w:left w:w="108" w:type="dxa"/>
            </w:tcMar>
            <w:vAlign w:val="center"/>
          </w:tcPr>
          <w:p w:rsidR="00AE15C6" w:rsidRDefault="007C2CF9">
            <w:pPr>
              <w:tabs>
                <w:tab w:val="left" w:pos="297"/>
              </w:tabs>
              <w:suppressAutoHyphens w:val="0"/>
              <w:rPr>
                <w:rFonts w:asciiTheme="minorHAnsi" w:hAnsiTheme="minorHAnsi"/>
                <w:color w:val="000000"/>
                <w:lang w:eastAsia="sk-SK"/>
              </w:rPr>
            </w:pPr>
            <w:r>
              <w:rPr>
                <w:rFonts w:asciiTheme="minorHAnsi" w:hAnsiTheme="minorHAnsi"/>
                <w:color w:val="000000"/>
                <w:lang w:eastAsia="sk-SK"/>
              </w:rPr>
              <w:t xml:space="preserve">Min.:    10 000                Max.: 100 000   </w:t>
            </w:r>
          </w:p>
        </w:tc>
      </w:tr>
      <w:tr w:rsidR="00AE15C6">
        <w:tc>
          <w:tcPr>
            <w:tcW w:w="1135" w:type="dxa"/>
            <w:shd w:val="clear" w:color="auto" w:fill="auto"/>
            <w:tcMar>
              <w:left w:w="108" w:type="dxa"/>
            </w:tcMar>
            <w:vAlign w:val="center"/>
          </w:tcPr>
          <w:p w:rsidR="00AE15C6" w:rsidRDefault="007C2CF9">
            <w:pPr>
              <w:tabs>
                <w:tab w:val="left" w:pos="289"/>
              </w:tabs>
              <w:spacing w:line="280" w:lineRule="exact"/>
              <w:jc w:val="center"/>
              <w:rPr>
                <w:rFonts w:asciiTheme="minorHAnsi" w:hAnsiTheme="minorHAnsi"/>
                <w:color w:val="000000"/>
                <w:lang w:eastAsia="sk-SK"/>
              </w:rPr>
            </w:pPr>
            <w:r>
              <w:rPr>
                <w:rFonts w:asciiTheme="minorHAnsi" w:hAnsiTheme="minorHAnsi"/>
                <w:color w:val="000000"/>
                <w:lang w:eastAsia="sk-SK"/>
              </w:rPr>
              <w:t>6.</w:t>
            </w:r>
          </w:p>
        </w:tc>
        <w:tc>
          <w:tcPr>
            <w:tcW w:w="6378" w:type="dxa"/>
            <w:shd w:val="clear" w:color="auto" w:fill="auto"/>
            <w:tcMar>
              <w:left w:w="108" w:type="dxa"/>
            </w:tcMar>
            <w:vAlign w:val="center"/>
          </w:tcPr>
          <w:p w:rsidR="00AE15C6" w:rsidRDefault="007C2CF9">
            <w:pPr>
              <w:tabs>
                <w:tab w:val="left" w:pos="567"/>
                <w:tab w:val="left" w:pos="611"/>
              </w:tabs>
              <w:spacing w:line="280" w:lineRule="exact"/>
              <w:jc w:val="both"/>
              <w:rPr>
                <w:rFonts w:asciiTheme="minorHAnsi" w:hAnsiTheme="minorHAnsi"/>
                <w:color w:val="000000"/>
                <w:sz w:val="22"/>
                <w:lang w:eastAsia="sk-SK"/>
              </w:rPr>
            </w:pPr>
            <w:r>
              <w:rPr>
                <w:rFonts w:asciiTheme="minorHAnsi" w:hAnsiTheme="minorHAnsi"/>
                <w:color w:val="000000"/>
                <w:sz w:val="22"/>
                <w:lang w:eastAsia="sk-SK"/>
              </w:rPr>
              <w:t>investície súvisiace so zvýšením bezpečnosti a prevencie proti vandalizmu na verejných priestoroch (montáž kamerových systémov a iných bezpečnostných prvkov) a investície súvisiace so zvýšením bezpečnosti t.j. nákup prídavných zariadení na komunálnu techniku na čistenie, údržbu zelene a zimnú údržbu ciest/miestnych komunikácií a chodníkov (malé zariadenia)</w:t>
            </w:r>
          </w:p>
        </w:tc>
        <w:tc>
          <w:tcPr>
            <w:tcW w:w="1701" w:type="dxa"/>
            <w:shd w:val="clear" w:color="auto" w:fill="auto"/>
            <w:tcMar>
              <w:left w:w="108" w:type="dxa"/>
            </w:tcMar>
            <w:vAlign w:val="center"/>
          </w:tcPr>
          <w:p w:rsidR="00AE15C6" w:rsidRDefault="007C2CF9">
            <w:pPr>
              <w:tabs>
                <w:tab w:val="left" w:pos="297"/>
              </w:tabs>
              <w:suppressAutoHyphens w:val="0"/>
              <w:rPr>
                <w:rFonts w:asciiTheme="minorHAnsi" w:hAnsiTheme="minorHAnsi"/>
                <w:color w:val="000000"/>
                <w:lang w:eastAsia="sk-SK"/>
              </w:rPr>
            </w:pPr>
            <w:r>
              <w:rPr>
                <w:rFonts w:asciiTheme="minorHAnsi" w:hAnsiTheme="minorHAnsi"/>
                <w:color w:val="000000"/>
                <w:lang w:eastAsia="sk-SK"/>
              </w:rPr>
              <w:t xml:space="preserve">Min.:    10 000                Max.: 100 000   </w:t>
            </w:r>
          </w:p>
        </w:tc>
      </w:tr>
    </w:tbl>
    <w:p w:rsidR="00AE15C6" w:rsidRDefault="00AE15C6">
      <w:pPr>
        <w:tabs>
          <w:tab w:val="left" w:pos="289"/>
        </w:tabs>
        <w:spacing w:line="280" w:lineRule="exact"/>
        <w:ind w:left="567"/>
        <w:jc w:val="both"/>
        <w:rPr>
          <w:rFonts w:asciiTheme="minorHAnsi" w:hAnsiTheme="minorHAnsi"/>
          <w:b/>
        </w:rPr>
      </w:pPr>
    </w:p>
    <w:p w:rsidR="00AE15C6" w:rsidRDefault="00AE15C6">
      <w:pPr>
        <w:tabs>
          <w:tab w:val="left" w:pos="567"/>
        </w:tabs>
        <w:spacing w:line="280" w:lineRule="exact"/>
        <w:ind w:left="426"/>
        <w:rPr>
          <w:rFonts w:asciiTheme="minorHAnsi" w:hAnsiTheme="minorHAnsi"/>
          <w:b/>
          <w:bCs/>
        </w:rPr>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Miesto podania ŽoNFP:</w:t>
      </w:r>
    </w:p>
    <w:p w:rsidR="00AE15C6" w:rsidRDefault="00AE15C6">
      <w:pPr>
        <w:tabs>
          <w:tab w:val="left" w:pos="289"/>
        </w:tabs>
        <w:spacing w:line="280" w:lineRule="exact"/>
        <w:ind w:left="567"/>
        <w:jc w:val="both"/>
        <w:rPr>
          <w:rFonts w:asciiTheme="minorHAnsi" w:hAnsiTheme="minorHAnsi"/>
          <w:b/>
        </w:rPr>
      </w:pPr>
    </w:p>
    <w:p w:rsidR="00AE15C6" w:rsidRDefault="007C2CF9">
      <w:pPr>
        <w:spacing w:line="280" w:lineRule="exact"/>
        <w:ind w:left="709"/>
        <w:jc w:val="both"/>
        <w:rPr>
          <w:rFonts w:asciiTheme="minorHAnsi" w:hAnsiTheme="minorHAnsi"/>
        </w:rPr>
      </w:pPr>
      <w:r>
        <w:rPr>
          <w:rFonts w:asciiTheme="minorHAnsi" w:hAnsiTheme="minorHAnsi"/>
        </w:rPr>
        <w:t>ŽoNFP sa podávajú poštou resp. inou prepravou (napr. zaslanie prostredníctvom kuriéra) alebo osobne v podateľni PPA na adrese: Pôdohospodárska platobná agentúra, Dobrovičova 12, 815 26 Bratislava, v čase v pondelok – štvrtok od 8.00 do 15.00 hod a v piatok od 8.00 do 12.00 hod.</w:t>
      </w:r>
    </w:p>
    <w:p w:rsidR="00AE15C6" w:rsidRDefault="00AE15C6">
      <w:pPr>
        <w:spacing w:line="280" w:lineRule="exact"/>
        <w:ind w:left="1320"/>
        <w:jc w:val="both"/>
        <w:rPr>
          <w:rFonts w:asciiTheme="minorHAnsi" w:hAnsiTheme="minorHAnsi"/>
        </w:rPr>
      </w:pPr>
    </w:p>
    <w:p w:rsidR="00AE15C6" w:rsidRDefault="007C2CF9">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 xml:space="preserve"> Ďalšie formálne náležitosti:</w:t>
      </w:r>
    </w:p>
    <w:p w:rsidR="00AE15C6" w:rsidRDefault="00AE15C6">
      <w:pPr>
        <w:tabs>
          <w:tab w:val="left" w:pos="289"/>
        </w:tabs>
        <w:spacing w:line="280" w:lineRule="exact"/>
        <w:ind w:left="567"/>
        <w:jc w:val="both"/>
        <w:rPr>
          <w:rFonts w:asciiTheme="minorHAnsi" w:hAnsiTheme="minorHAnsi"/>
          <w:b/>
        </w:rPr>
      </w:pPr>
    </w:p>
    <w:p w:rsidR="00AE15C6" w:rsidRPr="00B127C5" w:rsidRDefault="007C2CF9">
      <w:pPr>
        <w:numPr>
          <w:ilvl w:val="2"/>
          <w:numId w:val="20"/>
        </w:numPr>
        <w:spacing w:before="60" w:after="60" w:line="280" w:lineRule="exact"/>
        <w:ind w:left="851" w:hanging="426"/>
        <w:jc w:val="both"/>
        <w:rPr>
          <w:rFonts w:asciiTheme="minorHAnsi" w:hAnsiTheme="minorHAnsi"/>
        </w:rPr>
      </w:pPr>
      <w:r w:rsidRPr="00B127C5">
        <w:rPr>
          <w:rFonts w:asciiTheme="minorHAnsi" w:hAnsiTheme="minorHAnsi"/>
        </w:rPr>
        <w:t xml:space="preserve">Žiadateľ v rámci tejto výzvy podáva ŽoNFP  vždy výhradne na konkrétnu aktivitu 1 až 7. Žiadateľ môže v rámci tejto výzvy podať maximálne  2 ŽoNFP, z toho  maximálne 1 </w:t>
      </w:r>
      <w:r w:rsidRPr="00B127C5">
        <w:rPr>
          <w:rFonts w:asciiTheme="minorHAnsi" w:hAnsiTheme="minorHAnsi"/>
        </w:rPr>
        <w:lastRenderedPageBreak/>
        <w:t xml:space="preserve">ŽoNFP za aktivitu 1, maximálne 1 ŽoNFP za jednu z aktivít 2 až 5, maximálne 1 ŽoNFP za  aktivitu  6. </w:t>
      </w:r>
    </w:p>
    <w:p w:rsidR="00AE15C6" w:rsidRPr="00B127C5" w:rsidRDefault="007C2CF9">
      <w:pPr>
        <w:numPr>
          <w:ilvl w:val="2"/>
          <w:numId w:val="20"/>
        </w:numPr>
        <w:spacing w:before="60" w:after="60" w:line="280" w:lineRule="exact"/>
        <w:ind w:left="851" w:hanging="426"/>
        <w:jc w:val="both"/>
        <w:rPr>
          <w:rFonts w:asciiTheme="minorHAnsi" w:hAnsiTheme="minorHAnsi"/>
        </w:rPr>
      </w:pPr>
      <w:r w:rsidRPr="00B127C5">
        <w:rPr>
          <w:rFonts w:asciiTheme="minorHAnsi" w:hAnsiTheme="minorHAnsi"/>
        </w:rPr>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prílohu č. 1 tejto výzvy </w:t>
      </w:r>
    </w:p>
    <w:p w:rsidR="00AE15C6" w:rsidRPr="00B127C5" w:rsidRDefault="007C2CF9">
      <w:pPr>
        <w:numPr>
          <w:ilvl w:val="2"/>
          <w:numId w:val="20"/>
        </w:numPr>
        <w:spacing w:before="60" w:after="60" w:line="280" w:lineRule="exact"/>
        <w:ind w:left="851" w:hanging="426"/>
        <w:jc w:val="both"/>
        <w:rPr>
          <w:rFonts w:asciiTheme="minorHAnsi" w:hAnsiTheme="minorHAnsi"/>
        </w:rPr>
      </w:pPr>
      <w:r w:rsidRPr="00B127C5">
        <w:rPr>
          <w:rFonts w:asciiTheme="minorHAnsi" w:hAnsiTheme="minorHAnsi"/>
        </w:rPr>
        <w:t xml:space="preserve">Žiadateľ je v zmysle § 19 ods. 4 zákona 292/2014 Z. z. o príspevku poskytovanom z európskych štrukturálnych a investičných fondov a o zmene a doplnení niektorých zákonov povinný predložiť ŽoNFP </w:t>
      </w:r>
      <w:r w:rsidRPr="00B127C5">
        <w:rPr>
          <w:rFonts w:asciiTheme="minorHAnsi" w:hAnsiTheme="minorHAnsi"/>
          <w:u w:val="single"/>
        </w:rPr>
        <w:t>riadne, včas a vo forme určenej poskytovateľom vo výzve.</w:t>
      </w:r>
    </w:p>
    <w:p w:rsidR="00AE15C6" w:rsidRDefault="007C2CF9">
      <w:pPr>
        <w:pStyle w:val="Odsekzoznamu"/>
        <w:numPr>
          <w:ilvl w:val="0"/>
          <w:numId w:val="28"/>
        </w:numPr>
        <w:spacing w:before="60" w:after="60" w:line="280" w:lineRule="exact"/>
        <w:ind w:left="1134" w:hanging="283"/>
        <w:jc w:val="both"/>
        <w:rPr>
          <w:rFonts w:asciiTheme="minorHAnsi" w:hAnsiTheme="minorHAnsi"/>
        </w:rPr>
      </w:pPr>
      <w:r>
        <w:rPr>
          <w:rFonts w:asciiTheme="minorHAnsi" w:hAnsiTheme="minorHAnsi"/>
          <w:b/>
          <w:bCs/>
        </w:rPr>
        <w:t>ŽoNFP vrátane príloh je predložená riadne</w:t>
      </w:r>
      <w:r>
        <w:rPr>
          <w:rFonts w:asciiTheme="minorHAnsi" w:hAnsiTheme="minorHAnsi"/>
        </w:rPr>
        <w:t>, ak sú formulár ŽoNFP a prílohy vyplnené na počítači v slovenskom jazyku, resp. v prípade príloh predložených v inom ako slovenskom jazyku, je priložený preklad do slovenského jazyka. Preklad do slovenského jazyka sa nevyžaduje v prípade príloh, ktoré sú originálne vyhotovené v českom jazyku a sú vypracované vo formáte, ktorý umožňuje objektívne posúdenie obsahu ŽoNFP (t.j. čitateľnosť písma).</w:t>
      </w:r>
    </w:p>
    <w:p w:rsidR="00AE15C6" w:rsidRDefault="007C2CF9">
      <w:pPr>
        <w:numPr>
          <w:ilvl w:val="0"/>
          <w:numId w:val="30"/>
        </w:numPr>
        <w:spacing w:before="60" w:after="60" w:line="280" w:lineRule="exact"/>
        <w:ind w:left="1134" w:hanging="283"/>
        <w:jc w:val="both"/>
        <w:rPr>
          <w:rFonts w:asciiTheme="minorHAnsi" w:hAnsiTheme="minorHAnsi"/>
        </w:rPr>
      </w:pPr>
      <w:r>
        <w:rPr>
          <w:rFonts w:asciiTheme="minorHAnsi" w:hAnsiTheme="minorHAnsi"/>
          <w:b/>
          <w:bCs/>
        </w:rPr>
        <w:t>ŽoNFP</w:t>
      </w:r>
      <w:r>
        <w:rPr>
          <w:rFonts w:asciiTheme="minorHAnsi" w:hAnsiTheme="minorHAnsi"/>
        </w:rPr>
        <w:t xml:space="preserve"> </w:t>
      </w:r>
      <w:r>
        <w:rPr>
          <w:rFonts w:asciiTheme="minorHAnsi" w:hAnsiTheme="minorHAnsi"/>
          <w:b/>
        </w:rPr>
        <w:t>je doručená včas</w:t>
      </w:r>
      <w:r>
        <w:rPr>
          <w:rFonts w:asciiTheme="minorHAnsi" w:hAnsiTheme="minorHAnsi"/>
        </w:rPr>
        <w:t xml:space="preserve">, ak je doručená v písomnej forme, vrátane CD/DVD nosiča osobne na PPA alebo odovzdaná na poštovú, resp. inú prepravu (napr. zaslanie prostredníctvom kuriéra) na adresu PPA stanovenú vo vyzve, a to najneskôr do dátumu uzatvorenia vyzvania. Za dátum doručenia </w:t>
      </w:r>
      <w:r>
        <w:rPr>
          <w:rFonts w:asciiTheme="minorHAnsi" w:hAnsiTheme="minorHAnsi"/>
          <w:bCs/>
        </w:rPr>
        <w:t>ŽoNFP</w:t>
      </w:r>
      <w:r>
        <w:rPr>
          <w:rFonts w:asciiTheme="minorHAnsi" w:hAnsiTheme="minorHAnsi"/>
        </w:rPr>
        <w:t xml:space="preserve"> včas, sa považuje:</w:t>
      </w:r>
    </w:p>
    <w:p w:rsidR="00AE15C6" w:rsidRDefault="007C2CF9">
      <w:pPr>
        <w:numPr>
          <w:ilvl w:val="0"/>
          <w:numId w:val="29"/>
        </w:numPr>
        <w:spacing w:before="60" w:after="60" w:line="280" w:lineRule="exact"/>
        <w:ind w:left="1418" w:hanging="284"/>
        <w:jc w:val="both"/>
        <w:rPr>
          <w:rFonts w:asciiTheme="minorHAnsi" w:hAnsiTheme="minorHAnsi"/>
          <w:bCs/>
        </w:rPr>
      </w:pPr>
      <w:r>
        <w:rPr>
          <w:rFonts w:asciiTheme="minorHAnsi" w:hAnsiTheme="minorHAnsi"/>
          <w:bCs/>
        </w:rPr>
        <w:t>v prípade osobného doručenia deň jej fyzického doručenia v písomnej forme na adresu PPA uvedenú vyššie.</w:t>
      </w:r>
      <w:r>
        <w:rPr>
          <w:rFonts w:asciiTheme="minorHAnsi" w:hAnsiTheme="minorHAnsi"/>
        </w:rPr>
        <w:t xml:space="preserve"> </w:t>
      </w:r>
      <w:r>
        <w:rPr>
          <w:rFonts w:asciiTheme="minorHAnsi" w:hAnsiTheme="minorHAnsi"/>
          <w:bCs/>
        </w:rPr>
        <w:t>Podať ŽoNFP osobne do podateľne PPA je oprávnená akákoľvek osoba zastupujúca žiadateľa.</w:t>
      </w:r>
    </w:p>
    <w:p w:rsidR="00AE15C6" w:rsidRDefault="007C2CF9">
      <w:pPr>
        <w:numPr>
          <w:ilvl w:val="0"/>
          <w:numId w:val="29"/>
        </w:numPr>
        <w:spacing w:before="60" w:after="60" w:line="280" w:lineRule="exact"/>
        <w:ind w:left="1418" w:hanging="284"/>
        <w:jc w:val="both"/>
        <w:rPr>
          <w:rFonts w:asciiTheme="minorHAnsi" w:hAnsiTheme="minorHAnsi"/>
          <w:bCs/>
        </w:rPr>
      </w:pPr>
      <w:r>
        <w:rPr>
          <w:rFonts w:asciiTheme="minorHAnsi" w:hAnsiTheme="minorHAnsi"/>
          <w:bCs/>
        </w:rPr>
        <w:t>prípade zaslania poštou alebo kuriérom deň odovzdania ŽoNFP na takúto prepravu.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rsidR="00AE15C6" w:rsidRDefault="007C2CF9">
      <w:pPr>
        <w:numPr>
          <w:ilvl w:val="0"/>
          <w:numId w:val="29"/>
        </w:numPr>
        <w:spacing w:before="60" w:after="60" w:line="280" w:lineRule="exact"/>
        <w:ind w:left="1134" w:hanging="283"/>
        <w:jc w:val="both"/>
        <w:rPr>
          <w:rFonts w:asciiTheme="minorHAnsi" w:hAnsiTheme="minorHAnsi"/>
          <w:bCs/>
        </w:rPr>
      </w:pPr>
      <w:r>
        <w:rPr>
          <w:rFonts w:asciiTheme="minorHAnsi" w:hAnsiTheme="minorHAnsi"/>
          <w:b/>
          <w:bCs/>
        </w:rPr>
        <w:t>ŽoNFP je doručená v určenej forme</w:t>
      </w:r>
      <w:r>
        <w:rPr>
          <w:rFonts w:asciiTheme="minorHAnsi" w:hAnsiTheme="minorHAnsi"/>
          <w:bCs/>
        </w:rPr>
        <w:t>, ak je vyplnený formulár ŽoNFP (v zmysle podmienok uvedených vo formulári ŽoNFP, ktorý je prílohou č. 1 výzvy) a zároveň formulár ŽoNFP a prílohy ŽoNFP  sú doručené v písomnej forme (1 originál ako aj na CD/DVD nosiči).</w:t>
      </w:r>
    </w:p>
    <w:p w:rsidR="00AE15C6" w:rsidRDefault="007C2CF9">
      <w:pPr>
        <w:numPr>
          <w:ilvl w:val="2"/>
          <w:numId w:val="20"/>
        </w:numPr>
        <w:spacing w:before="60" w:after="60" w:line="280" w:lineRule="exact"/>
        <w:ind w:left="851" w:hanging="284"/>
        <w:jc w:val="both"/>
        <w:rPr>
          <w:rFonts w:asciiTheme="minorHAnsi" w:hAnsiTheme="minorHAnsi"/>
        </w:rPr>
      </w:pPr>
      <w:r>
        <w:rPr>
          <w:rFonts w:asciiTheme="minorHAnsi" w:hAnsiTheme="minorHAnsi"/>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p>
    <w:p w:rsidR="00AE15C6" w:rsidRDefault="007C2CF9">
      <w:pPr>
        <w:numPr>
          <w:ilvl w:val="2"/>
          <w:numId w:val="20"/>
        </w:numPr>
        <w:spacing w:before="60" w:after="60" w:line="280" w:lineRule="exact"/>
        <w:ind w:left="851" w:hanging="426"/>
        <w:jc w:val="both"/>
        <w:rPr>
          <w:rFonts w:asciiTheme="minorHAnsi" w:hAnsiTheme="minorHAnsi"/>
        </w:rPr>
      </w:pPr>
      <w:r>
        <w:rPr>
          <w:rFonts w:asciiTheme="minorHAnsi" w:hAnsiTheme="minorHAnsi"/>
        </w:rPr>
        <w:t>ŽoNFP sa podávajú spolu so všetkými povinnými  prílohami v zalepenej obálke/balíku. V ľavom hornom rohu obálky/balíka žiadateľ uvedie číslo tejto výzvy, názov opatrenia/podopatrenia a realizovanú činnosť, názov obce (združenia obcí), IČO a v pravom dolnom rohu obálky/balíka žiadateľ uvedie nápis „Neotvárať“</w:t>
      </w:r>
    </w:p>
    <w:p w:rsidR="00AE15C6" w:rsidRDefault="007C2CF9">
      <w:pPr>
        <w:numPr>
          <w:ilvl w:val="2"/>
          <w:numId w:val="20"/>
        </w:numPr>
        <w:spacing w:before="60" w:after="60" w:line="280" w:lineRule="exact"/>
        <w:ind w:left="851" w:hanging="426"/>
        <w:jc w:val="both"/>
        <w:rPr>
          <w:rFonts w:asciiTheme="minorHAnsi" w:hAnsiTheme="minorHAnsi"/>
        </w:rPr>
      </w:pPr>
      <w:r>
        <w:rPr>
          <w:rFonts w:asciiTheme="minorHAnsi" w:hAnsiTheme="minorHAnsi"/>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AE15C6" w:rsidRDefault="007C2CF9">
      <w:pPr>
        <w:numPr>
          <w:ilvl w:val="2"/>
          <w:numId w:val="20"/>
        </w:numPr>
        <w:spacing w:before="60" w:after="60" w:line="280" w:lineRule="exact"/>
        <w:ind w:left="851" w:hanging="426"/>
        <w:jc w:val="both"/>
        <w:rPr>
          <w:rFonts w:asciiTheme="minorHAnsi" w:hAnsiTheme="minorHAnsi"/>
        </w:rPr>
      </w:pPr>
      <w:r>
        <w:rPr>
          <w:rFonts w:asciiTheme="minorHAnsi" w:hAnsiTheme="minorHAnsi"/>
        </w:rPr>
        <w:lastRenderedPageBreak/>
        <w:t>ŽoNFP sa podávajú v jednom originálnom vyhotovení. ŽoNFP musia byť podpísané štatutárnym orgánom žiadateľa alebo osobou úradne splnomocnenou štatutárnym orgánom žiadateľa na mieste/miestach predpísaných vo formulári ŽoNFP</w:t>
      </w:r>
    </w:p>
    <w:p w:rsidR="00AE15C6" w:rsidRDefault="007C2CF9">
      <w:pPr>
        <w:numPr>
          <w:ilvl w:val="2"/>
          <w:numId w:val="20"/>
        </w:numPr>
        <w:spacing w:before="60" w:after="60" w:line="280" w:lineRule="exact"/>
        <w:ind w:left="851" w:hanging="426"/>
        <w:jc w:val="both"/>
        <w:rPr>
          <w:rFonts w:asciiTheme="minorHAnsi" w:hAnsiTheme="minorHAnsi"/>
        </w:rPr>
      </w:pPr>
      <w:r>
        <w:rPr>
          <w:rFonts w:asciiTheme="minorHAnsi" w:hAnsiTheme="minorHAnsi"/>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rsidR="00AE15C6" w:rsidRDefault="007C2CF9">
      <w:pPr>
        <w:numPr>
          <w:ilvl w:val="2"/>
          <w:numId w:val="20"/>
        </w:numPr>
        <w:spacing w:before="60" w:after="60" w:line="280" w:lineRule="exact"/>
        <w:ind w:left="851" w:hanging="426"/>
        <w:jc w:val="both"/>
        <w:rPr>
          <w:rFonts w:asciiTheme="minorHAnsi" w:hAnsiTheme="minorHAnsi"/>
          <w:color w:val="00000A"/>
        </w:rPr>
      </w:pPr>
      <w:r>
        <w:rPr>
          <w:rFonts w:asciiTheme="minorHAnsi" w:hAnsiTheme="minorHAnsi"/>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rsidR="00AE15C6" w:rsidRDefault="007C2CF9">
      <w:pPr>
        <w:numPr>
          <w:ilvl w:val="2"/>
          <w:numId w:val="20"/>
        </w:numPr>
        <w:spacing w:before="60" w:after="60" w:line="280" w:lineRule="exact"/>
        <w:ind w:left="851" w:hanging="425"/>
        <w:jc w:val="both"/>
        <w:rPr>
          <w:rFonts w:asciiTheme="minorHAnsi" w:hAnsiTheme="minorHAnsi"/>
        </w:rPr>
      </w:pPr>
      <w:r>
        <w:rPr>
          <w:rFonts w:asciiTheme="minorHAnsi" w:hAnsiTheme="minorHAnsi"/>
        </w:rPr>
        <w:t xml:space="preserve">PPA registruje len kompletné ŽoNFP, t.j. ŽoNFP, ktoré obsahujú všetky povinné prílohy, uvedené vo formulári ŽoNFP, v časti „C Povinné prílohy projektu pri podaní </w:t>
      </w:r>
      <w:r>
        <w:rPr>
          <w:rFonts w:asciiTheme="minorHAnsi" w:hAnsiTheme="minorHAnsi"/>
          <w:bCs/>
        </w:rPr>
        <w:t>Žiadosti“</w:t>
      </w:r>
      <w:r>
        <w:rPr>
          <w:rFonts w:asciiTheme="minorHAnsi" w:hAnsiTheme="minorHAnsi"/>
        </w:rPr>
        <w:t>, zoradené podľa predpísaného poradia. V prípade nesplnenia týchto podmienok nebudú ŽoNFP akceptované a PPA konanie o ŽoNFP zastaví a vydá Rozhodnutie o zastavení konania v znení § 20 ods. 1 písm. c) zákona 292/2014 Z.z. o príspevku poskytovanom z európskych štrukturálnych a investičných fondov a o zmene a doplnení niektorých zákonov.</w:t>
      </w:r>
    </w:p>
    <w:p w:rsidR="00AE15C6" w:rsidRDefault="00AE15C6">
      <w:pPr>
        <w:spacing w:line="280" w:lineRule="exact"/>
        <w:ind w:left="1436" w:hanging="332"/>
        <w:jc w:val="both"/>
        <w:rPr>
          <w:rFonts w:asciiTheme="minorHAnsi" w:hAnsiTheme="minorHAnsi"/>
          <w:b/>
          <w:bCs/>
        </w:rPr>
      </w:pPr>
    </w:p>
    <w:p w:rsidR="00AE15C6" w:rsidRDefault="007C2CF9">
      <w:pPr>
        <w:numPr>
          <w:ilvl w:val="0"/>
          <w:numId w:val="3"/>
        </w:numPr>
        <w:tabs>
          <w:tab w:val="left" w:pos="289"/>
        </w:tabs>
        <w:spacing w:line="280" w:lineRule="exact"/>
        <w:ind w:hanging="720"/>
        <w:jc w:val="both"/>
        <w:rPr>
          <w:rFonts w:asciiTheme="minorHAnsi" w:hAnsiTheme="minorHAnsi"/>
          <w:b/>
          <w:bCs/>
        </w:rPr>
      </w:pPr>
      <w:r>
        <w:rPr>
          <w:rFonts w:asciiTheme="minorHAnsi" w:hAnsiTheme="minorHAnsi"/>
          <w:b/>
          <w:bCs/>
        </w:rPr>
        <w:t>Podmienky poskytnutia NFP</w:t>
      </w:r>
    </w:p>
    <w:p w:rsidR="00AE15C6" w:rsidRDefault="00AE15C6">
      <w:pPr>
        <w:tabs>
          <w:tab w:val="left" w:pos="289"/>
        </w:tabs>
        <w:spacing w:line="280" w:lineRule="exact"/>
        <w:ind w:left="720"/>
        <w:rPr>
          <w:rFonts w:asciiTheme="minorHAnsi" w:hAnsiTheme="minorHAnsi"/>
          <w:b/>
        </w:rPr>
      </w:pPr>
    </w:p>
    <w:p w:rsidR="00AE15C6" w:rsidRDefault="007C2CF9">
      <w:pPr>
        <w:numPr>
          <w:ilvl w:val="1"/>
          <w:numId w:val="7"/>
        </w:numPr>
        <w:tabs>
          <w:tab w:val="left" w:pos="289"/>
        </w:tabs>
        <w:spacing w:line="280" w:lineRule="exact"/>
        <w:ind w:left="567" w:hanging="425"/>
        <w:jc w:val="both"/>
        <w:rPr>
          <w:rFonts w:asciiTheme="minorHAnsi" w:hAnsiTheme="minorHAnsi"/>
          <w:lang w:eastAsia="sk-SK"/>
        </w:rPr>
      </w:pPr>
      <w:r>
        <w:rPr>
          <w:rFonts w:asciiTheme="minorHAnsi" w:hAnsiTheme="minorHAnsi"/>
          <w:b/>
        </w:rPr>
        <w:t xml:space="preserve">Oprávnenosť žiadateľa (prijímateľa): </w:t>
      </w:r>
    </w:p>
    <w:p w:rsidR="00AE15C6" w:rsidRDefault="00AE15C6">
      <w:pPr>
        <w:tabs>
          <w:tab w:val="left" w:pos="289"/>
        </w:tabs>
        <w:spacing w:line="280" w:lineRule="exact"/>
        <w:ind w:left="567"/>
        <w:jc w:val="both"/>
        <w:rPr>
          <w:rFonts w:asciiTheme="minorHAnsi" w:hAnsiTheme="minorHAnsi"/>
          <w:lang w:eastAsia="sk-SK"/>
        </w:rPr>
      </w:pPr>
    </w:p>
    <w:p w:rsidR="00AE15C6" w:rsidRDefault="007C2CF9">
      <w:pPr>
        <w:ind w:left="567" w:hanging="141"/>
        <w:rPr>
          <w:rFonts w:asciiTheme="minorHAnsi" w:hAnsiTheme="minorHAnsi"/>
          <w:lang w:eastAsia="sk-SK"/>
        </w:rPr>
      </w:pPr>
      <w:r>
        <w:rPr>
          <w:rFonts w:asciiTheme="minorHAnsi" w:hAnsiTheme="minorHAnsi"/>
          <w:b/>
        </w:rPr>
        <w:t xml:space="preserve">Prijímateľmi </w:t>
      </w:r>
      <w:r>
        <w:rPr>
          <w:rFonts w:asciiTheme="minorHAnsi" w:hAnsiTheme="minorHAnsi"/>
          <w:b/>
          <w:lang w:eastAsia="sk-SK"/>
        </w:rPr>
        <w:t>sú</w:t>
      </w:r>
      <w:r>
        <w:rPr>
          <w:rFonts w:asciiTheme="minorHAnsi" w:hAnsiTheme="minorHAnsi"/>
          <w:lang w:eastAsia="sk-SK"/>
        </w:rPr>
        <w:t>:</w:t>
      </w:r>
    </w:p>
    <w:p w:rsidR="00AE15C6" w:rsidRDefault="007C2CF9">
      <w:pPr>
        <w:numPr>
          <w:ilvl w:val="2"/>
          <w:numId w:val="19"/>
        </w:numPr>
        <w:spacing w:before="60" w:after="60" w:line="280" w:lineRule="exact"/>
        <w:ind w:left="709" w:hanging="283"/>
        <w:jc w:val="both"/>
        <w:rPr>
          <w:rFonts w:asciiTheme="minorHAnsi" w:hAnsiTheme="minorHAnsi"/>
        </w:rPr>
      </w:pPr>
      <w:r>
        <w:rPr>
          <w:rFonts w:asciiTheme="minorHAnsi" w:hAnsiTheme="minorHAnsi"/>
          <w:lang w:eastAsia="sk-SK"/>
        </w:rPr>
        <w:t>obce vo vidieckych oblastiach s počtom obyvateľov do 1 000 (vrátane);</w:t>
      </w:r>
    </w:p>
    <w:p w:rsidR="00AE15C6" w:rsidRDefault="007C2CF9">
      <w:pPr>
        <w:numPr>
          <w:ilvl w:val="2"/>
          <w:numId w:val="19"/>
        </w:numPr>
        <w:spacing w:before="60" w:after="60" w:line="280" w:lineRule="exact"/>
        <w:ind w:left="709" w:hanging="283"/>
        <w:jc w:val="both"/>
        <w:rPr>
          <w:rFonts w:asciiTheme="minorHAnsi" w:hAnsiTheme="minorHAnsi"/>
          <w:lang w:eastAsia="sk-SK"/>
        </w:rPr>
      </w:pPr>
      <w:r>
        <w:rPr>
          <w:rFonts w:asciiTheme="minorHAnsi" w:hAnsiTheme="minorHAnsi"/>
          <w:lang w:eastAsia="sk-SK"/>
        </w:rPr>
        <w:t>združenia obcí s právnou subjektivitou (s  počtom obyvateľov do 1 000 vrátane).</w:t>
      </w:r>
    </w:p>
    <w:p w:rsidR="00AE15C6" w:rsidRDefault="007C2CF9">
      <w:pPr>
        <w:tabs>
          <w:tab w:val="left" w:pos="289"/>
        </w:tabs>
        <w:spacing w:before="60" w:after="60" w:line="280" w:lineRule="exact"/>
        <w:ind w:left="709"/>
        <w:jc w:val="both"/>
        <w:rPr>
          <w:rFonts w:asciiTheme="minorHAnsi" w:hAnsiTheme="minorHAnsi"/>
          <w:lang w:eastAsia="sk-SK"/>
        </w:rPr>
      </w:pPr>
      <w:r>
        <w:rPr>
          <w:rFonts w:asciiTheme="minorHAnsi" w:hAnsiTheme="minorHAnsi"/>
          <w:lang w:eastAsia="sk-SK"/>
        </w:rPr>
        <w:t xml:space="preserve">Pozn.: V rámci združení obcí tieto združenia môžu zahŕňať aj obce nad 1000 obyvateľov ale investície môžu byť realizované len v obciach do 1000 obyvateľov. </w:t>
      </w:r>
    </w:p>
    <w:p w:rsidR="00AE15C6" w:rsidRDefault="007C2CF9">
      <w:pPr>
        <w:tabs>
          <w:tab w:val="left" w:pos="289"/>
        </w:tabs>
        <w:spacing w:line="280" w:lineRule="exact"/>
        <w:ind w:left="709" w:hanging="283"/>
        <w:jc w:val="both"/>
        <w:rPr>
          <w:rFonts w:asciiTheme="minorHAnsi" w:hAnsiTheme="minorHAnsi"/>
          <w:bCs/>
        </w:rPr>
      </w:pPr>
      <w:r>
        <w:rPr>
          <w:rFonts w:asciiTheme="minorHAnsi" w:hAnsiTheme="minorHAnsi"/>
          <w:lang w:eastAsia="sk-SK"/>
        </w:rPr>
        <w:t>Zoznam obcí do 1000 obyvateľov k 31.12.2014 je tvorí prílohu č. 7 tejto výzvy.</w:t>
      </w:r>
    </w:p>
    <w:p w:rsidR="00AE15C6" w:rsidRDefault="00AE15C6">
      <w:pPr>
        <w:spacing w:line="280" w:lineRule="exact"/>
        <w:ind w:left="709"/>
        <w:jc w:val="both"/>
        <w:rPr>
          <w:rFonts w:asciiTheme="minorHAnsi" w:hAnsiTheme="minorHAnsi"/>
          <w:lang w:eastAsia="sk-SK"/>
        </w:rPr>
      </w:pPr>
    </w:p>
    <w:p w:rsidR="00AE15C6" w:rsidRDefault="00AE15C6">
      <w:pPr>
        <w:spacing w:line="280" w:lineRule="exact"/>
        <w:ind w:left="709"/>
        <w:jc w:val="both"/>
        <w:rPr>
          <w:rFonts w:asciiTheme="minorHAnsi" w:hAnsiTheme="minorHAnsi"/>
          <w:lang w:eastAsia="sk-SK"/>
        </w:rPr>
      </w:pPr>
    </w:p>
    <w:p w:rsidR="00AE15C6" w:rsidRDefault="007C2CF9">
      <w:pPr>
        <w:numPr>
          <w:ilvl w:val="1"/>
          <w:numId w:val="7"/>
        </w:numPr>
        <w:tabs>
          <w:tab w:val="left" w:pos="289"/>
        </w:tabs>
        <w:spacing w:line="280" w:lineRule="exact"/>
        <w:ind w:left="567" w:hanging="425"/>
        <w:jc w:val="both"/>
        <w:rPr>
          <w:rFonts w:asciiTheme="minorHAnsi" w:hAnsiTheme="minorHAnsi"/>
          <w:b/>
          <w:bCs/>
          <w:lang w:eastAsia="sk-SK"/>
        </w:rPr>
      </w:pPr>
      <w:r>
        <w:rPr>
          <w:rFonts w:asciiTheme="minorHAnsi" w:hAnsiTheme="minorHAnsi"/>
          <w:b/>
        </w:rPr>
        <w:t xml:space="preserve">Oprávnenosť aktivít realizácie projektu </w:t>
      </w:r>
    </w:p>
    <w:p w:rsidR="00AE15C6" w:rsidRDefault="00AE15C6">
      <w:pPr>
        <w:tabs>
          <w:tab w:val="left" w:pos="289"/>
        </w:tabs>
        <w:spacing w:line="280" w:lineRule="exact"/>
        <w:ind w:left="567"/>
        <w:jc w:val="both"/>
        <w:rPr>
          <w:rFonts w:asciiTheme="minorHAnsi" w:hAnsiTheme="minorHAnsi"/>
          <w:b/>
          <w:bCs/>
          <w:lang w:eastAsia="sk-SK"/>
        </w:rPr>
      </w:pPr>
    </w:p>
    <w:p w:rsidR="00AE15C6" w:rsidRDefault="007C2CF9">
      <w:pPr>
        <w:spacing w:after="120"/>
        <w:ind w:left="567" w:right="-488"/>
        <w:jc w:val="both"/>
        <w:rPr>
          <w:rFonts w:asciiTheme="minorHAnsi" w:hAnsiTheme="minorHAnsi"/>
        </w:rPr>
      </w:pPr>
      <w:r>
        <w:rPr>
          <w:rFonts w:asciiTheme="minorHAnsi" w:hAnsiTheme="minorHAnsi"/>
          <w:b/>
        </w:rPr>
        <w:t xml:space="preserve">Oprávnené </w:t>
      </w:r>
      <w:r>
        <w:rPr>
          <w:rFonts w:asciiTheme="minorHAnsi" w:hAnsiTheme="minorHAnsi"/>
        </w:rPr>
        <w:t xml:space="preserve"> sú nasledovné aktivity: </w:t>
      </w:r>
    </w:p>
    <w:p w:rsidR="00AE15C6" w:rsidRDefault="007C2CF9">
      <w:pPr>
        <w:suppressAutoHyphens w:val="0"/>
        <w:ind w:left="1701" w:right="-489" w:hanging="1134"/>
        <w:contextualSpacing/>
        <w:jc w:val="both"/>
        <w:rPr>
          <w:rFonts w:asciiTheme="minorHAnsi" w:hAnsiTheme="minorHAnsi"/>
        </w:rPr>
      </w:pPr>
      <w:r>
        <w:rPr>
          <w:rFonts w:asciiTheme="minorHAnsi" w:hAnsiTheme="minorHAnsi"/>
          <w:lang w:eastAsia="sk-SK"/>
        </w:rPr>
        <w:t xml:space="preserve">Aktivita 1: </w:t>
      </w:r>
      <w:r>
        <w:rPr>
          <w:rFonts w:asciiTheme="minorHAnsi" w:hAnsiTheme="minorHAnsi"/>
          <w:lang w:eastAsia="sk-SK"/>
        </w:rPr>
        <w:tab/>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p w:rsidR="00AE15C6" w:rsidRDefault="007C2CF9">
      <w:pPr>
        <w:suppressAutoHyphens w:val="0"/>
        <w:ind w:left="1701" w:right="-489" w:hanging="1134"/>
        <w:contextualSpacing/>
        <w:jc w:val="both"/>
        <w:rPr>
          <w:rFonts w:asciiTheme="minorHAnsi" w:hAnsiTheme="minorHAnsi"/>
          <w:lang w:eastAsia="sk-SK"/>
        </w:rPr>
      </w:pPr>
      <w:r>
        <w:rPr>
          <w:rFonts w:asciiTheme="minorHAnsi" w:hAnsiTheme="minorHAnsi"/>
          <w:lang w:eastAsia="sk-SK"/>
        </w:rPr>
        <w:t xml:space="preserve">Aktivita 2: </w:t>
      </w:r>
      <w:r>
        <w:rPr>
          <w:rFonts w:asciiTheme="minorHAnsi" w:hAnsiTheme="minorHAnsi"/>
          <w:lang w:eastAsia="sk-SK"/>
        </w:rPr>
        <w:tab/>
        <w:t>investície zamerané na zriadenie nových, prístavba, prestavba, rekonštrukcia a modernizácia existujúcich domov smútku vrátane ich okolia</w:t>
      </w:r>
    </w:p>
    <w:p w:rsidR="00AE15C6" w:rsidRDefault="007C2CF9">
      <w:pPr>
        <w:suppressAutoHyphens w:val="0"/>
        <w:ind w:left="1701" w:right="-489" w:hanging="1134"/>
        <w:contextualSpacing/>
        <w:jc w:val="both"/>
        <w:rPr>
          <w:rFonts w:asciiTheme="minorHAnsi" w:hAnsiTheme="minorHAnsi"/>
          <w:lang w:eastAsia="sk-SK"/>
        </w:rPr>
      </w:pPr>
      <w:r>
        <w:rPr>
          <w:rFonts w:asciiTheme="minorHAnsi" w:hAnsiTheme="minorHAnsi"/>
          <w:lang w:eastAsia="sk-SK"/>
        </w:rPr>
        <w:t xml:space="preserve">Aktivita 3: </w:t>
      </w:r>
      <w:r>
        <w:rPr>
          <w:rFonts w:asciiTheme="minorHAnsi" w:hAnsiTheme="minorHAnsi"/>
          <w:lang w:eastAsia="sk-SK"/>
        </w:rPr>
        <w:tab/>
        <w:t>investície súvisiace so zvyšovaním kvality života obyvateľov – investície spojené s odstraňovaním malých tzv. divokých skládok odpadov resp. opusteného odpadu</w:t>
      </w:r>
    </w:p>
    <w:p w:rsidR="00AE15C6" w:rsidRDefault="007C2CF9">
      <w:pPr>
        <w:suppressAutoHyphens w:val="0"/>
        <w:ind w:left="1701" w:right="-489" w:hanging="1134"/>
        <w:contextualSpacing/>
        <w:jc w:val="both"/>
        <w:rPr>
          <w:rFonts w:asciiTheme="minorHAnsi" w:hAnsiTheme="minorHAnsi"/>
          <w:lang w:eastAsia="sk-SK"/>
        </w:rPr>
      </w:pPr>
      <w:r>
        <w:rPr>
          <w:rFonts w:asciiTheme="minorHAnsi" w:hAnsiTheme="minorHAnsi"/>
          <w:lang w:eastAsia="sk-SK"/>
        </w:rPr>
        <w:lastRenderedPageBreak/>
        <w:t xml:space="preserve">Aktivita 4: </w:t>
      </w:r>
      <w:r>
        <w:rPr>
          <w:rFonts w:asciiTheme="minorHAnsi" w:hAnsiTheme="minorHAnsi"/>
          <w:lang w:eastAsia="sk-SK"/>
        </w:rPr>
        <w:tab/>
        <w:t>investície súvisiace s vytváraním podmienok pre rozvoj podnikania – rekonštrukcie nevyužívaných objektov v obci pre podnikateľskú činnosť, výstavba/rekonštrukcia tržníc pre podporu predaja miestnych produktov a pod.</w:t>
      </w:r>
    </w:p>
    <w:p w:rsidR="00AE15C6" w:rsidRDefault="007C2CF9">
      <w:pPr>
        <w:suppressAutoHyphens w:val="0"/>
        <w:ind w:left="1701" w:right="-489" w:hanging="1134"/>
        <w:contextualSpacing/>
        <w:jc w:val="both"/>
        <w:rPr>
          <w:rFonts w:asciiTheme="minorHAnsi" w:hAnsiTheme="minorHAnsi"/>
          <w:lang w:eastAsia="sk-SK"/>
        </w:rPr>
      </w:pPr>
      <w:r>
        <w:rPr>
          <w:rFonts w:asciiTheme="minorHAnsi" w:hAnsiTheme="minorHAnsi"/>
          <w:lang w:eastAsia="sk-SK"/>
        </w:rPr>
        <w:t xml:space="preserve">Aktivita 5: </w:t>
      </w:r>
      <w:r>
        <w:rPr>
          <w:rFonts w:asciiTheme="minorHAnsi" w:hAnsiTheme="minorHAnsi"/>
          <w:lang w:eastAsia="sk-SK"/>
        </w:rPr>
        <w:tab/>
        <w:t>investície do využívania OZE vrátane investícií spojenými s úsporou energie – len ako súčasť investícií do miestnych služieb. Za miestne služby považujú len služby spojené so spolkovou  činnosťou v rámci komunitných centier, služby spojené s kultúrou v rámci kultúrnych domov, služby spojené s poskytovaním samosprávnych činností v rámci obecných úradov, služby spojené s predškolskou výchovou v rámci materských škôlok a služieb spojených so športom v rámci obecných športových hál a telocviční</w:t>
      </w:r>
    </w:p>
    <w:p w:rsidR="00AE15C6" w:rsidRDefault="007C2CF9">
      <w:pPr>
        <w:suppressAutoHyphens w:val="0"/>
        <w:ind w:left="1701" w:right="-489" w:hanging="1134"/>
        <w:contextualSpacing/>
        <w:jc w:val="both"/>
        <w:rPr>
          <w:rFonts w:asciiTheme="minorHAnsi" w:hAnsiTheme="minorHAnsi"/>
          <w:lang w:eastAsia="sk-SK"/>
        </w:rPr>
      </w:pPr>
      <w:r>
        <w:rPr>
          <w:rFonts w:asciiTheme="minorHAnsi" w:hAnsiTheme="minorHAnsi"/>
          <w:lang w:eastAsia="sk-SK"/>
        </w:rPr>
        <w:t>Aktivita 6:</w:t>
      </w:r>
      <w:r>
        <w:rPr>
          <w:rFonts w:asciiTheme="minorHAnsi" w:hAnsiTheme="minorHAnsi"/>
          <w:lang w:eastAsia="sk-SK"/>
        </w:rPr>
        <w:tab/>
        <w:t>investície súvisiace so zvýšením bezpečnosti t.j. nákup prídavných zariadení na komunálnu techniku na čistenie, údržbu zelene a zimnú údržbu ciest/miestnych komunikácií a chodníkov (malé zariadenia) a investície súvisiace so zvýšením bezpečnosti a prevencie proti vandalizmu na verejných priestoroch (montáž kamerových systémov a iných bezpečnostných prvkov)</w:t>
      </w:r>
    </w:p>
    <w:p w:rsidR="00AE15C6" w:rsidRDefault="00AE15C6">
      <w:pPr>
        <w:tabs>
          <w:tab w:val="left" w:pos="1134"/>
        </w:tabs>
        <w:ind w:left="1134"/>
        <w:jc w:val="both"/>
        <w:rPr>
          <w:rFonts w:asciiTheme="minorHAnsi" w:hAnsiTheme="minorHAnsi"/>
          <w:b/>
        </w:rPr>
      </w:pPr>
    </w:p>
    <w:p w:rsidR="00AE15C6" w:rsidRDefault="00AE15C6">
      <w:pPr>
        <w:tabs>
          <w:tab w:val="left" w:pos="1134"/>
        </w:tabs>
        <w:ind w:left="1134"/>
        <w:jc w:val="both"/>
        <w:rPr>
          <w:rFonts w:asciiTheme="minorHAnsi" w:hAnsiTheme="minorHAnsi"/>
          <w:b/>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Oprávnenosť výdavkov realizácie projektu: </w:t>
      </w:r>
    </w:p>
    <w:p w:rsidR="00AE15C6" w:rsidRDefault="00AE15C6">
      <w:pPr>
        <w:pStyle w:val="Odsekzoznamu"/>
        <w:rPr>
          <w:rFonts w:asciiTheme="minorHAnsi" w:hAnsiTheme="minorHAnsi"/>
          <w:b/>
        </w:rPr>
      </w:pPr>
    </w:p>
    <w:p w:rsidR="00AE15C6" w:rsidRDefault="007C2CF9">
      <w:pPr>
        <w:pStyle w:val="Odsekzoznamu"/>
        <w:numPr>
          <w:ilvl w:val="2"/>
          <w:numId w:val="10"/>
        </w:numPr>
        <w:tabs>
          <w:tab w:val="left" w:pos="289"/>
        </w:tabs>
        <w:spacing w:line="280" w:lineRule="exact"/>
        <w:ind w:hanging="453"/>
        <w:jc w:val="both"/>
        <w:rPr>
          <w:rFonts w:asciiTheme="minorHAnsi" w:hAnsiTheme="minorHAnsi"/>
          <w:b/>
        </w:rPr>
      </w:pPr>
      <w:r>
        <w:rPr>
          <w:rFonts w:asciiTheme="minorHAnsi" w:hAnsiTheme="minorHAnsi"/>
          <w:b/>
        </w:rPr>
        <w:t>Oprávnené výdavky:</w:t>
      </w:r>
    </w:p>
    <w:p w:rsidR="00AE15C6" w:rsidRDefault="00AE15C6">
      <w:pPr>
        <w:tabs>
          <w:tab w:val="left" w:pos="851"/>
        </w:tabs>
        <w:jc w:val="both"/>
        <w:rPr>
          <w:rFonts w:asciiTheme="minorHAnsi" w:hAnsiTheme="minorHAnsi"/>
          <w:b/>
          <w:bCs/>
          <w:lang w:eastAsia="sk-SK"/>
        </w:rPr>
      </w:pPr>
    </w:p>
    <w:p w:rsidR="00AE15C6" w:rsidRDefault="007C2CF9">
      <w:pPr>
        <w:numPr>
          <w:ilvl w:val="0"/>
          <w:numId w:val="17"/>
        </w:numPr>
        <w:spacing w:before="60" w:after="60"/>
        <w:ind w:left="851" w:hanging="284"/>
        <w:jc w:val="both"/>
        <w:rPr>
          <w:rFonts w:asciiTheme="minorHAnsi" w:hAnsiTheme="minorHAnsi"/>
          <w:bCs/>
        </w:rPr>
      </w:pPr>
      <w:r>
        <w:rPr>
          <w:rFonts w:asciiTheme="minorHAnsi" w:hAnsiTheme="minorHAnsi"/>
          <w:bCs/>
        </w:rPr>
        <w:t>Výdavky, pri ktorých verejné obstarávanie bolo začaté najskôr dňa 01.12.2014,  vynaložené až po predložení ŽoNFP na PPA,</w:t>
      </w:r>
    </w:p>
    <w:p w:rsidR="00AE15C6" w:rsidRDefault="007C2CF9">
      <w:pPr>
        <w:numPr>
          <w:ilvl w:val="0"/>
          <w:numId w:val="17"/>
        </w:numPr>
        <w:spacing w:before="60" w:after="60"/>
        <w:ind w:left="851" w:hanging="284"/>
        <w:jc w:val="both"/>
        <w:rPr>
          <w:rFonts w:asciiTheme="minorHAnsi" w:hAnsiTheme="minorHAnsi"/>
          <w:bCs/>
        </w:rPr>
      </w:pPr>
      <w:r>
        <w:rPr>
          <w:rFonts w:asciiTheme="minorHAnsi" w:hAnsiTheme="minorHAnsi"/>
          <w:bCs/>
        </w:rPr>
        <w:t xml:space="preserve">Výdavky vynaložené </w:t>
      </w:r>
      <w:r>
        <w:rPr>
          <w:rFonts w:asciiTheme="minorHAnsi" w:hAnsiTheme="minorHAnsi"/>
          <w:b/>
          <w:bCs/>
        </w:rPr>
        <w:t>až po predložení ŽoNFP</w:t>
      </w:r>
      <w:r>
        <w:rPr>
          <w:rFonts w:asciiTheme="minorHAnsi" w:hAnsiTheme="minorHAnsi"/>
          <w:bCs/>
        </w:rPr>
        <w:t xml:space="preserve"> na PPA, </w:t>
      </w:r>
      <w:r>
        <w:rPr>
          <w:rFonts w:asciiTheme="minorHAnsi" w:hAnsiTheme="minorHAnsi"/>
          <w:b/>
          <w:bCs/>
        </w:rPr>
        <w:t>s výnimkou</w:t>
      </w:r>
      <w:r>
        <w:rPr>
          <w:rFonts w:asciiTheme="minorHAnsi" w:hAnsiTheme="minorHAnsi"/>
          <w:bCs/>
        </w:rPr>
        <w:t xml:space="preserve"> </w:t>
      </w:r>
      <w:r>
        <w:rPr>
          <w:rFonts w:asciiTheme="minorHAnsi" w:hAnsiTheme="minorHAnsi"/>
          <w:b/>
          <w:bCs/>
        </w:rPr>
        <w:t>všeobecných výdavkov na prípravné práce</w:t>
      </w:r>
      <w:r>
        <w:rPr>
          <w:rFonts w:asciiTheme="minorHAnsi" w:hAnsiTheme="minorHAnsi"/>
          <w:bCs/>
        </w:rPr>
        <w:t xml:space="preserve"> súvisiace s výstavbou, rekonštrukciou a modernizáciou nehnuteľného majetku, uvedené v bode 2.2, pri ktorých verejné obstarávanie bolo začaté najskôr dňa 01.12.2014 a to </w:t>
      </w:r>
      <w:r>
        <w:rPr>
          <w:rFonts w:asciiTheme="minorHAnsi" w:hAnsiTheme="minorHAnsi"/>
          <w:b/>
          <w:bCs/>
        </w:rPr>
        <w:t>v max. výške 5%</w:t>
      </w:r>
      <w:r>
        <w:rPr>
          <w:rFonts w:asciiTheme="minorHAnsi" w:hAnsiTheme="minorHAnsi"/>
          <w:bCs/>
        </w:rPr>
        <w:t xml:space="preserve"> z oprávnených výdavkov. </w:t>
      </w:r>
      <w:r>
        <w:rPr>
          <w:rFonts w:asciiTheme="minorHAnsi" w:hAnsiTheme="minorHAnsi"/>
          <w:b/>
          <w:bCs/>
        </w:rPr>
        <w:t>Pod výdavkami na prípravné práce</w:t>
      </w:r>
      <w:r>
        <w:rPr>
          <w:rFonts w:asciiTheme="minorHAnsi" w:hAnsiTheme="minorHAnsi"/>
          <w:bCs/>
        </w:rPr>
        <w:t xml:space="preserve"> sa rozumejú </w:t>
      </w:r>
      <w:r>
        <w:rPr>
          <w:rFonts w:asciiTheme="minorHAnsi" w:hAnsiTheme="minorHAnsi"/>
          <w:lang w:eastAsia="sk-SK"/>
        </w:rPr>
        <w:t>výdavky na poplatky architektom, projektantom, inžinierom a konzultantom súvisiace s vypracovaním projektovej dokumentácie (</w:t>
      </w:r>
      <w:r>
        <w:rPr>
          <w:rFonts w:asciiTheme="minorHAnsi" w:hAnsiTheme="minorHAnsi"/>
          <w:b/>
          <w:lang w:eastAsia="sk-SK"/>
        </w:rPr>
        <w:t>max. 4%</w:t>
      </w:r>
      <w:r>
        <w:rPr>
          <w:rFonts w:asciiTheme="minorHAnsi" w:hAnsiTheme="minorHAnsi"/>
          <w:lang w:eastAsia="sk-SK"/>
        </w:rPr>
        <w:t>), výdavky za stavebný dozor (</w:t>
      </w:r>
      <w:r>
        <w:rPr>
          <w:rFonts w:asciiTheme="minorHAnsi" w:hAnsiTheme="minorHAnsi"/>
          <w:b/>
          <w:lang w:eastAsia="sk-SK"/>
        </w:rPr>
        <w:t>max. 1%</w:t>
      </w:r>
      <w:r>
        <w:rPr>
          <w:rFonts w:asciiTheme="minorHAnsi" w:hAnsiTheme="minorHAnsi"/>
          <w:lang w:eastAsia="sk-SK"/>
        </w:rPr>
        <w:t>) a</w:t>
      </w:r>
      <w:r>
        <w:rPr>
          <w:rFonts w:asciiTheme="minorHAnsi" w:hAnsiTheme="minorHAnsi"/>
          <w:bCs/>
        </w:rPr>
        <w:t>. Výdavky na prípravné práce mohli byť vynaložené aj pred  predložením ŽoNFP na PPA,</w:t>
      </w:r>
    </w:p>
    <w:p w:rsidR="00AE15C6" w:rsidRDefault="007C2CF9">
      <w:pPr>
        <w:numPr>
          <w:ilvl w:val="0"/>
          <w:numId w:val="17"/>
        </w:numPr>
        <w:spacing w:before="60" w:after="60"/>
        <w:ind w:left="851" w:hanging="284"/>
        <w:jc w:val="both"/>
        <w:rPr>
          <w:rFonts w:asciiTheme="minorHAnsi" w:hAnsiTheme="minorHAnsi"/>
          <w:bCs/>
        </w:rPr>
      </w:pPr>
      <w:r>
        <w:rPr>
          <w:rFonts w:asciiTheme="minorHAnsi" w:hAnsiTheme="minorHAnsi"/>
          <w:lang w:eastAsia="sk-SK"/>
        </w:rPr>
        <w:t xml:space="preserve">Výdavky na hmotné a nehmotné investície, ktoré sú v súlade s podporovanými aktivitami v rámci tohto podopatrenia, uvedenými v bode 2.2, vrátane výdavkov na začlenenie prvkov zelenej infraštruktúry – náklady na následné "ozelenenie" objektov a ich začlenenie do zelenej infraštruktúry obce a vrátane nákladov súvisiacich s investíciami do využívania OZE a do úspor energie, pokiaľ sú tieto investície súčasťou iných investícií v rámci operácie; </w:t>
      </w:r>
    </w:p>
    <w:p w:rsidR="00AE15C6" w:rsidRDefault="00AE15C6">
      <w:pPr>
        <w:pStyle w:val="Odsekzoznamu"/>
        <w:rPr>
          <w:rFonts w:asciiTheme="minorHAnsi" w:hAnsiTheme="minorHAnsi"/>
          <w:bCs/>
        </w:rPr>
      </w:pPr>
    </w:p>
    <w:p w:rsidR="00AE15C6" w:rsidRDefault="00AE15C6">
      <w:pPr>
        <w:pStyle w:val="Odsekzoznamu"/>
        <w:rPr>
          <w:rFonts w:asciiTheme="minorHAnsi" w:hAnsiTheme="minorHAnsi"/>
          <w:bCs/>
        </w:rPr>
      </w:pPr>
    </w:p>
    <w:p w:rsidR="00AE15C6" w:rsidRDefault="007C2CF9">
      <w:pPr>
        <w:pStyle w:val="Odsekzoznamu"/>
        <w:numPr>
          <w:ilvl w:val="2"/>
          <w:numId w:val="10"/>
        </w:numPr>
        <w:tabs>
          <w:tab w:val="left" w:pos="289"/>
        </w:tabs>
        <w:spacing w:line="280" w:lineRule="exact"/>
        <w:ind w:hanging="453"/>
        <w:jc w:val="both"/>
        <w:rPr>
          <w:rFonts w:asciiTheme="minorHAnsi" w:hAnsiTheme="minorHAnsi"/>
          <w:b/>
        </w:rPr>
      </w:pPr>
      <w:r>
        <w:rPr>
          <w:rFonts w:asciiTheme="minorHAnsi" w:hAnsiTheme="minorHAnsi"/>
          <w:b/>
        </w:rPr>
        <w:t>Podmienky oprávnenosti:</w:t>
      </w:r>
    </w:p>
    <w:p w:rsidR="00AE15C6" w:rsidRDefault="007C2CF9">
      <w:pPr>
        <w:pStyle w:val="Odsekzoznamu"/>
        <w:rPr>
          <w:rFonts w:asciiTheme="minorHAnsi" w:hAnsiTheme="minorHAnsi"/>
          <w:lang w:eastAsia="sk-SK"/>
        </w:rPr>
      </w:pPr>
      <w:r>
        <w:rPr>
          <w:rFonts w:asciiTheme="minorHAnsi" w:hAnsiTheme="minorHAnsi"/>
          <w:lang w:eastAsia="sk-SK"/>
        </w:rPr>
        <w:t xml:space="preserve"> </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bCs/>
        </w:rPr>
        <w:t>Splnenie všeobecných podmienok poskytnutia príspevku a výberových kritérií pre výber projektov, uvedených v bode „2.5 Kritériá pre výber projektov“</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lang w:eastAsia="sk-SK"/>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lang w:eastAsia="sk-SK"/>
        </w:rPr>
        <w:lastRenderedPageBreak/>
        <w:t xml:space="preserve">Investície do využívania OZE a do úspor energie sú oprávnené, len pokiaľ sú tieto investície súčasťou iných investícií v rámci operácie (projektu) tohto podopatrenia. </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lang w:eastAsia="sk-SK"/>
        </w:rPr>
        <w:t>V rámci aktivity 6 je ako súčasť investícií súvisiacich so zvyšovaním bezpečnosti a prevenciou proti vandalizmu na verejných priestoroch možné do projektov realizácie montáže kamerových systémov zahrnúť budovanie a modernizáciu verejného osvetlenia;</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lang w:eastAsia="sk-SK"/>
        </w:rPr>
        <w:t>V prípade projektu predkladaného združeniami obcí musia obce preukázať spoluprácu predložením relevantnej zmluvy;</w:t>
      </w:r>
    </w:p>
    <w:p w:rsidR="00AE15C6" w:rsidRDefault="007C2CF9">
      <w:pPr>
        <w:pStyle w:val="Odsekzoznamu"/>
        <w:numPr>
          <w:ilvl w:val="0"/>
          <w:numId w:val="18"/>
        </w:numPr>
        <w:ind w:left="709" w:hanging="283"/>
        <w:jc w:val="both"/>
        <w:rPr>
          <w:rFonts w:asciiTheme="minorHAnsi" w:hAnsiTheme="minorHAnsi"/>
          <w:lang w:eastAsia="sk-SK"/>
        </w:rPr>
      </w:pPr>
      <w:r>
        <w:rPr>
          <w:rFonts w:asciiTheme="minorHAnsi" w:hAnsiTheme="minorHAnsi"/>
          <w:lang w:eastAsia="sk-SK"/>
        </w:rPr>
        <w:t>Neumožňuje sa umelé rozdeľovanie projektu na etapy, t.z. každý samostatný projekt musí byť po ukončení realizácie funkčný, životaschopný a pod.;</w:t>
      </w:r>
    </w:p>
    <w:p w:rsidR="00AE15C6" w:rsidRDefault="007C2CF9">
      <w:pPr>
        <w:pStyle w:val="Odsekzoznamu"/>
        <w:numPr>
          <w:ilvl w:val="0"/>
          <w:numId w:val="18"/>
        </w:numPr>
        <w:jc w:val="both"/>
        <w:rPr>
          <w:rFonts w:asciiTheme="minorHAnsi" w:hAnsiTheme="minorHAnsi"/>
          <w:bCs/>
        </w:rPr>
      </w:pPr>
      <w:r>
        <w:rPr>
          <w:rFonts w:asciiTheme="minorHAnsi" w:hAnsiTheme="minorHAnsi"/>
          <w:lang w:eastAsia="sk-SK"/>
        </w:rPr>
        <w:t xml:space="preserve">Povinnosť uplatňovať sociálny aspekt pri verejnom obstarávaní v zmysle Metodického pokyn pri zadávaní zákaziek na dodanie tovaru, uskutočnenie stavebných prác a na poskytnutie služieb pri uplatňovaní sociálneho aspektu pri verejnom obstarávaní (ďalej aj „VO“) pre Program rozvoja vidieka Slovenskej republiky 2014 - 2020. Povinnosť uplatňovať sociálny aspekt sa vzťahuje na všetky výdavky okrem všeobecných výdavkov </w:t>
      </w:r>
      <w:r>
        <w:rPr>
          <w:rFonts w:asciiTheme="minorHAnsi" w:hAnsiTheme="minorHAnsi"/>
        </w:rPr>
        <w:t>na prípravné práce,</w:t>
      </w:r>
      <w:r>
        <w:rPr>
          <w:rFonts w:asciiTheme="minorHAnsi" w:hAnsiTheme="minorHAnsi"/>
          <w:lang w:eastAsia="sk-SK"/>
        </w:rPr>
        <w:t xml:space="preserve"> uvedených v bode 2.3.1 odsek 2. </w:t>
      </w:r>
    </w:p>
    <w:p w:rsidR="00AE15C6" w:rsidRDefault="007C2CF9">
      <w:pPr>
        <w:pStyle w:val="Odsekzoznamu"/>
        <w:numPr>
          <w:ilvl w:val="0"/>
          <w:numId w:val="18"/>
        </w:numPr>
        <w:ind w:left="709" w:hanging="283"/>
        <w:jc w:val="both"/>
        <w:rPr>
          <w:rFonts w:asciiTheme="minorHAnsi" w:hAnsiTheme="minorHAnsi"/>
          <w:bCs/>
        </w:rPr>
      </w:pPr>
      <w:r>
        <w:rPr>
          <w:rFonts w:asciiTheme="minorHAnsi" w:hAnsiTheme="minorHAnsi"/>
          <w:bCs/>
        </w:rPr>
        <w:t>Oprávnenosť výdavkov je podmienená schváleným verejným obstarávaním.</w:t>
      </w:r>
    </w:p>
    <w:p w:rsidR="00AE15C6" w:rsidRDefault="00AE15C6">
      <w:pPr>
        <w:pStyle w:val="Odsekzoznamu"/>
        <w:rPr>
          <w:rFonts w:asciiTheme="minorHAnsi" w:hAnsiTheme="minorHAnsi"/>
          <w:bCs/>
        </w:rPr>
      </w:pPr>
    </w:p>
    <w:p w:rsidR="00AE15C6" w:rsidRDefault="007C2CF9">
      <w:pPr>
        <w:pStyle w:val="Odsekzoznamu"/>
        <w:numPr>
          <w:ilvl w:val="2"/>
          <w:numId w:val="10"/>
        </w:numPr>
        <w:tabs>
          <w:tab w:val="left" w:pos="289"/>
        </w:tabs>
        <w:spacing w:line="280" w:lineRule="exact"/>
        <w:jc w:val="both"/>
        <w:rPr>
          <w:rFonts w:asciiTheme="minorHAnsi" w:hAnsiTheme="minorHAnsi"/>
          <w:b/>
        </w:rPr>
      </w:pPr>
      <w:r>
        <w:rPr>
          <w:rFonts w:asciiTheme="minorHAnsi" w:hAnsiTheme="minorHAnsi"/>
          <w:b/>
        </w:rPr>
        <w:t>Neoprávnené výdavky:</w:t>
      </w:r>
    </w:p>
    <w:p w:rsidR="00AE15C6" w:rsidRDefault="00AE15C6">
      <w:pPr>
        <w:tabs>
          <w:tab w:val="left" w:pos="709"/>
          <w:tab w:val="left" w:pos="851"/>
        </w:tabs>
        <w:suppressAutoHyphens w:val="0"/>
        <w:ind w:left="1418"/>
        <w:contextualSpacing/>
        <w:jc w:val="both"/>
        <w:rPr>
          <w:rFonts w:asciiTheme="minorHAnsi" w:hAnsiTheme="minorHAnsi"/>
          <w:lang w:eastAsia="sk-SK"/>
        </w:rPr>
      </w:pPr>
    </w:p>
    <w:p w:rsidR="00AE15C6" w:rsidRDefault="007C2CF9">
      <w:pPr>
        <w:numPr>
          <w:ilvl w:val="3"/>
          <w:numId w:val="8"/>
        </w:numPr>
        <w:tabs>
          <w:tab w:val="left" w:pos="709"/>
          <w:tab w:val="left" w:pos="2977"/>
        </w:tabs>
        <w:ind w:left="709" w:hanging="283"/>
        <w:contextualSpacing/>
        <w:jc w:val="both"/>
        <w:rPr>
          <w:rFonts w:asciiTheme="minorHAnsi" w:hAnsiTheme="minorHAnsi"/>
          <w:b/>
          <w:bCs/>
          <w:lang w:eastAsia="sk-SK"/>
        </w:rPr>
      </w:pPr>
      <w:r>
        <w:rPr>
          <w:rFonts w:asciiTheme="minorHAnsi" w:hAnsiTheme="minorHAnsi"/>
        </w:rPr>
        <w:t>Výdavky vynaložené pred podaním ŽoNFP na PPA (v tomto prípade sa celý projekt považuje za neoprávnený) s výnimkou začatia procesu obstarávania tovarov, služieb a prác najskôr od 01.12.2014 a všeobecných výdavkov na prípravné práce, uvedených v bode 2.3.1, odst. 2);</w:t>
      </w:r>
    </w:p>
    <w:p w:rsidR="00AE15C6" w:rsidRDefault="007C2CF9">
      <w:pPr>
        <w:numPr>
          <w:ilvl w:val="3"/>
          <w:numId w:val="8"/>
        </w:numPr>
        <w:tabs>
          <w:tab w:val="left" w:pos="709"/>
          <w:tab w:val="left" w:pos="2977"/>
        </w:tabs>
        <w:ind w:left="709" w:hanging="283"/>
        <w:contextualSpacing/>
        <w:jc w:val="both"/>
        <w:rPr>
          <w:rFonts w:asciiTheme="minorHAnsi" w:hAnsiTheme="minorHAnsi"/>
          <w:b/>
          <w:bCs/>
          <w:lang w:eastAsia="sk-SK"/>
        </w:rPr>
      </w:pPr>
      <w:r>
        <w:rPr>
          <w:rFonts w:asciiTheme="minorHAnsi" w:hAnsiTheme="minorHAnsi"/>
          <w:bCs/>
          <w:lang w:eastAsia="sk-SK"/>
        </w:rPr>
        <w:t>Úroky z dlžných súm;</w:t>
      </w:r>
    </w:p>
    <w:p w:rsidR="00AE15C6" w:rsidRDefault="007C2CF9">
      <w:pPr>
        <w:numPr>
          <w:ilvl w:val="3"/>
          <w:numId w:val="8"/>
        </w:numPr>
        <w:tabs>
          <w:tab w:val="left" w:pos="709"/>
          <w:tab w:val="left" w:pos="2977"/>
        </w:tabs>
        <w:ind w:left="709" w:hanging="283"/>
        <w:contextualSpacing/>
        <w:jc w:val="both"/>
        <w:rPr>
          <w:rFonts w:asciiTheme="minorHAnsi" w:hAnsiTheme="minorHAnsi"/>
          <w:b/>
          <w:bCs/>
          <w:lang w:eastAsia="sk-SK"/>
        </w:rPr>
      </w:pPr>
      <w:r>
        <w:rPr>
          <w:rFonts w:asciiTheme="minorHAnsi" w:hAnsiTheme="minorHAnsi"/>
          <w:bCs/>
          <w:lang w:eastAsia="sk-SK"/>
        </w:rPr>
        <w:t>Kúpa nezastavaného a zastavaného pozemku;</w:t>
      </w:r>
    </w:p>
    <w:p w:rsidR="00AE15C6" w:rsidRDefault="007C2CF9">
      <w:pPr>
        <w:numPr>
          <w:ilvl w:val="3"/>
          <w:numId w:val="8"/>
        </w:numPr>
        <w:tabs>
          <w:tab w:val="left" w:pos="709"/>
          <w:tab w:val="left" w:pos="2977"/>
        </w:tabs>
        <w:ind w:left="709" w:hanging="283"/>
        <w:contextualSpacing/>
        <w:jc w:val="both"/>
      </w:pPr>
      <w:r>
        <w:rPr>
          <w:rFonts w:asciiTheme="minorHAnsi" w:hAnsiTheme="minorHAnsi"/>
          <w:bCs/>
          <w:lang w:eastAsia="sk-SK"/>
        </w:rPr>
        <w:t>DPH s výnimkou prípadov, keď nie je vymáhateľná podľa vnútroštátnych právnych predpisov o DPH. V rámci uplatnenia DPH ako oprávneného výdavky je na webovom sídle zverejnené Usmernenie PPA č. 1/2015 (</w:t>
      </w:r>
      <w:hyperlink r:id="rId11">
        <w:r>
          <w:rPr>
            <w:rStyle w:val="InternetLink"/>
            <w:rFonts w:asciiTheme="minorHAnsi" w:hAnsiTheme="minorHAnsi"/>
            <w:bCs/>
            <w:sz w:val="24"/>
            <w:lang w:eastAsia="sk-SK"/>
          </w:rPr>
          <w:t>http://www.apa.sk/index.php?navID=529&amp;id=6858</w:t>
        </w:r>
      </w:hyperlink>
      <w:r>
        <w:rPr>
          <w:rFonts w:asciiTheme="minorHAnsi" w:hAnsiTheme="minorHAnsi"/>
          <w:bCs/>
          <w:lang w:eastAsia="sk-SK"/>
        </w:rPr>
        <w:t xml:space="preserve"> ).</w:t>
      </w:r>
    </w:p>
    <w:p w:rsidR="00AE15C6" w:rsidRDefault="00AE15C6">
      <w:pPr>
        <w:tabs>
          <w:tab w:val="left" w:pos="709"/>
          <w:tab w:val="left" w:pos="2977"/>
        </w:tabs>
        <w:ind w:left="709"/>
        <w:contextualSpacing/>
        <w:jc w:val="both"/>
        <w:rPr>
          <w:rFonts w:asciiTheme="minorHAnsi" w:hAnsiTheme="minorHAnsi"/>
          <w:b/>
          <w:bCs/>
          <w:lang w:eastAsia="sk-SK"/>
        </w:rPr>
      </w:pPr>
    </w:p>
    <w:p w:rsidR="00AE15C6" w:rsidRDefault="00AE15C6">
      <w:pPr>
        <w:tabs>
          <w:tab w:val="left" w:pos="709"/>
          <w:tab w:val="left" w:pos="2977"/>
        </w:tabs>
        <w:ind w:left="709"/>
        <w:contextualSpacing/>
        <w:jc w:val="both"/>
        <w:rPr>
          <w:rFonts w:asciiTheme="minorHAnsi" w:hAnsiTheme="minorHAnsi"/>
          <w:b/>
          <w:bCs/>
          <w:lang w:eastAsia="sk-SK"/>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Oprávnenosť miesta realizácie projektu </w:t>
      </w:r>
    </w:p>
    <w:p w:rsidR="00AE15C6" w:rsidRDefault="00AE15C6">
      <w:pPr>
        <w:tabs>
          <w:tab w:val="left" w:pos="289"/>
        </w:tabs>
        <w:spacing w:line="280" w:lineRule="exact"/>
        <w:ind w:left="567"/>
        <w:jc w:val="both"/>
        <w:rPr>
          <w:rFonts w:asciiTheme="minorHAnsi" w:hAnsiTheme="minorHAnsi"/>
          <w:lang w:eastAsia="sk-SK"/>
        </w:rPr>
      </w:pPr>
    </w:p>
    <w:p w:rsidR="00AE15C6" w:rsidRDefault="007C2CF9">
      <w:pPr>
        <w:ind w:left="567"/>
        <w:jc w:val="both"/>
        <w:rPr>
          <w:rFonts w:asciiTheme="minorHAnsi" w:hAnsiTheme="minorHAnsi"/>
          <w:lang w:eastAsia="sk-SK"/>
        </w:rPr>
      </w:pPr>
      <w:r>
        <w:rPr>
          <w:rFonts w:asciiTheme="minorHAnsi" w:hAnsiTheme="minorHAnsi"/>
          <w:lang w:eastAsia="sk-SK"/>
        </w:rPr>
        <w:t>Celé územie Slovenska (NUTS I) – v súlade s podmienkami uvedenými v bode 2.5 Kritériá pre výber projektov, ktoré je rozdelené na menej rozvinuté regióny (mimo Bratislavského kraja) a ostatné regióny (Bratislavský kraj).</w:t>
      </w:r>
    </w:p>
    <w:p w:rsidR="00AE15C6" w:rsidRDefault="00AE15C6">
      <w:pPr>
        <w:tabs>
          <w:tab w:val="left" w:pos="289"/>
          <w:tab w:val="left" w:pos="536"/>
          <w:tab w:val="left" w:pos="846"/>
        </w:tabs>
        <w:spacing w:line="280" w:lineRule="exact"/>
        <w:ind w:left="1701"/>
        <w:rPr>
          <w:rFonts w:asciiTheme="minorHAnsi" w:hAnsiTheme="minorHAnsi"/>
          <w:b/>
          <w:bCs/>
          <w:i/>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Kritériá pre výber projektov </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2"/>
          <w:numId w:val="11"/>
        </w:numPr>
        <w:tabs>
          <w:tab w:val="left" w:pos="289"/>
        </w:tabs>
        <w:spacing w:line="280" w:lineRule="exact"/>
        <w:ind w:hanging="453"/>
        <w:jc w:val="both"/>
        <w:rPr>
          <w:rFonts w:asciiTheme="minorHAnsi" w:hAnsiTheme="minorHAnsi"/>
          <w:b/>
        </w:rPr>
      </w:pPr>
      <w:r>
        <w:rPr>
          <w:rFonts w:asciiTheme="minorHAnsi" w:hAnsiTheme="minorHAnsi"/>
          <w:b/>
        </w:rPr>
        <w:t>Všeobecné podmienky poskytnutia príspevku:</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0"/>
          <w:numId w:val="21"/>
        </w:numPr>
        <w:tabs>
          <w:tab w:val="left" w:pos="1276"/>
        </w:tabs>
        <w:suppressAutoHyphens w:val="0"/>
        <w:spacing w:after="120"/>
        <w:ind w:left="1276" w:hanging="567"/>
        <w:jc w:val="both"/>
        <w:rPr>
          <w:rFonts w:asciiTheme="minorHAnsi" w:hAnsiTheme="minorHAnsi"/>
          <w:b/>
        </w:rPr>
      </w:pPr>
      <w:r>
        <w:rPr>
          <w:rFonts w:asciiTheme="minorHAnsi" w:hAnsiTheme="minorHAnsi"/>
          <w:b/>
        </w:rPr>
        <w:t xml:space="preserve">Investície sa musia realizovať na území Slovenska, v prípade prístupu LEADER/CLLD na území príslušnej MAS </w:t>
      </w:r>
    </w:p>
    <w:p w:rsidR="00AE15C6" w:rsidRDefault="007C2CF9">
      <w:pPr>
        <w:tabs>
          <w:tab w:val="left" w:pos="1276"/>
        </w:tabs>
        <w:ind w:left="1276" w:hanging="567"/>
        <w:jc w:val="both"/>
        <w:rPr>
          <w:rFonts w:asciiTheme="minorHAnsi" w:hAnsiTheme="minorHAnsi"/>
        </w:rPr>
      </w:pPr>
      <w:r>
        <w:rPr>
          <w:rFonts w:asciiTheme="minorHAnsi" w:hAnsiTheme="minorHAnsi"/>
        </w:rPr>
        <w:tab/>
        <w:t xml:space="preserve">Nehnuteľnosti, ktoré sú predmetom projektu sa musia nachádzať na území SR, resp. príslušnej MAS, hnuteľné veci, ktoré sú predmetom projektu – stroje, technológie a pod. sa musia využívať na území SR resp. príslušnej MAS; v rámci </w:t>
      </w:r>
      <w:r>
        <w:rPr>
          <w:rFonts w:asciiTheme="minorHAnsi" w:hAnsiTheme="minorHAnsi"/>
        </w:rPr>
        <w:lastRenderedPageBreak/>
        <w:t>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nemá evidované nedoplatky poistného na zdravotné poistenie, sociálne poistenie a príspevkov na starobné dôchodkové poistenie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8a  ods. 4 zákona č. 523/2004 Z.z. o rozpočtových pravidlách verejnej správy a o zmene a doplnení niektorých zákonov v znení neskorších predpisov. Splátkový kalendár potvrdený veriteľom sa akceptuje.</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xml:space="preserve">V priebehu trvania zmluvy o poskytnutí NFP táto skutočnosť podlieha oznamovacej povinnosti prijímateľa voči poskytovateľovi.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w:t>
      </w:r>
      <w:r>
        <w:rPr>
          <w:rFonts w:asciiTheme="minorHAnsi" w:hAnsiTheme="minorHAnsi"/>
        </w:rPr>
        <w:lastRenderedPageBreak/>
        <w:t>a Európskom námornom a rybárskom fonde a ktorým sa zrušuje nariadenie Rady (ES) č. 1083/2006.</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Podmienka sa netýka výkonu rozhodnutia voči členom riadiacich a dozorných orgánov žiadateľa, ale je relevantná vo vzťahu k subjektu žiadateľa.</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Každá investičná operácia, ak sa na ňu vzťahuje zákon č. 24/2006 Z.z. o posudzovaní vplyvov na životné prostredie, musí byť vopred posúdená na základe tohto zákona.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Čl. 45 ods. 1 nariadenia Európskeho parlamentu a Rady (EÚ) č. 1305/2013 o podpore rozvoja vidieka prostredníctvom Európskeho poľnohospodárskeho fondu pre rozvoj vidieka (EPFRV) a o zrušení nariadenia Rady (ES) č. 1698/2005.</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musí postupovať pri obstarávaní tovarov, stavebných prác a služieb, ktoré sú financované z verejných prostriedkov, v súlade so zákonom č. 343/2015 Z.z. v znení neskorších predpisov.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musí zabezpečiť hospodárnosť, efektívnosť a účinnosť použitia verejných prostriedkov.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xml:space="preserve">§ 19 ods. 3 zákona č. 523/2004 Z.z. o rozpočtových pravidlách verejnej správy a o zmene a doplnení niektorých zákonov v znení neskorších predpisov. Nepreukazuje sa pri paušálnych platbách.  </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musí dodržiavať princíp zákazu konfliktu záujmov v súlade so zákonom č. 292/2014 Z.z. o príspevku poskytovanom z európskych štrukturálnych a investičných fondov a o zmene a doplnení niektorých zákonov.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 46 zákona č. 292/2014 Z.z. o príspevku poskytovanom z európskych štrukturálnych a investičných fondov a o zmene a doplnení niektorých zákonov.</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V priebehu trvania zmluvy o poskytnutí NFP táto skutočnosť podlieha oznamovacej povinnosti prijímateľa voči poskytovateľovi.</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AE15C6" w:rsidRDefault="007C2CF9">
      <w:pPr>
        <w:tabs>
          <w:tab w:val="left" w:pos="567"/>
          <w:tab w:val="left" w:pos="851"/>
          <w:tab w:val="left" w:pos="1276"/>
          <w:tab w:val="left" w:pos="2268"/>
        </w:tabs>
        <w:ind w:left="1276" w:hanging="567"/>
        <w:jc w:val="both"/>
        <w:rPr>
          <w:rFonts w:asciiTheme="minorHAnsi" w:hAnsiTheme="minorHAnsi"/>
        </w:rPr>
      </w:pPr>
      <w:r>
        <w:rPr>
          <w:rFonts w:asciiTheme="minorHAnsi" w:hAnsiTheme="minorHAnsi"/>
        </w:rPr>
        <w:tab/>
      </w:r>
      <w:r>
        <w:rPr>
          <w:rFonts w:asciiTheme="minorHAnsi" w:hAnsiTheme="minorHAnsi"/>
        </w:rPr>
        <w:tab/>
        <w:t>Nariadenie Komisie (ES, Euratom) č. 1302/2008 zo 17. decembra 2008 o centrálnej databáze vylúčených subjektov (ďalej len „Nariadenie o CED“).</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lastRenderedPageBreak/>
        <w:t xml:space="preserve">V prípade, že sa na dané činnosti vzťahujú pravidlá štátnej pomoci resp. pomoci de minimis, žiadateľ musí spĺňať podmienky vyplývajúce zo schém štátnej pomoci/pomoci de minimis. </w:t>
      </w:r>
    </w:p>
    <w:p w:rsidR="00AE15C6" w:rsidRDefault="007C2CF9">
      <w:pPr>
        <w:tabs>
          <w:tab w:val="left" w:pos="1276"/>
        </w:tabs>
        <w:ind w:left="1276" w:hanging="567"/>
        <w:jc w:val="both"/>
        <w:rPr>
          <w:rFonts w:asciiTheme="minorHAnsi" w:hAnsiTheme="minorHAnsi"/>
        </w:rPr>
      </w:pPr>
      <w:r>
        <w:rPr>
          <w:rFonts w:asciiTheme="minorHAnsi" w:hAnsiTheme="minorHAnsi"/>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AE15C6" w:rsidRDefault="007C2CF9">
      <w:pPr>
        <w:tabs>
          <w:tab w:val="left" w:pos="1276"/>
        </w:tabs>
        <w:ind w:left="1276" w:hanging="567"/>
        <w:jc w:val="both"/>
        <w:rPr>
          <w:rFonts w:asciiTheme="minorHAnsi" w:hAnsiTheme="minorHAnsi"/>
        </w:rPr>
      </w:pPr>
      <w:r>
        <w:rPr>
          <w:rFonts w:asciiTheme="minorHAnsi" w:hAnsiTheme="minorHAnsi"/>
        </w:rPr>
        <w:tab/>
        <w:t>Nariadenie Komisie (EÚ) č. 1407/2013 o uplatňovaní článkov 107 a 108 Zmluvy o fungovaní Európskej únie na pomoc de minimis.</w:t>
      </w:r>
    </w:p>
    <w:p w:rsidR="00AE15C6" w:rsidRDefault="007C2CF9">
      <w:pPr>
        <w:tabs>
          <w:tab w:val="left" w:pos="1276"/>
        </w:tabs>
        <w:ind w:left="1276" w:hanging="567"/>
        <w:jc w:val="both"/>
        <w:rPr>
          <w:rFonts w:asciiTheme="minorHAnsi" w:hAnsiTheme="minorHAnsi"/>
        </w:rPr>
      </w:pPr>
      <w:r>
        <w:rPr>
          <w:rFonts w:asciiTheme="minorHAnsi" w:hAnsiTheme="minorHAnsi"/>
        </w:rPr>
        <w:tab/>
        <w:t>Nariadenie Komisie (EÚ) č. 651/2014 o vyhlásení určitých kategórií pomoci za zlúčiteľné s vnútorným trhom podľa článkov 107 a 108 Zmluvy o fungovaní Európskej únie.</w:t>
      </w:r>
    </w:p>
    <w:p w:rsidR="00AE15C6" w:rsidRDefault="007C2CF9">
      <w:pPr>
        <w:tabs>
          <w:tab w:val="left" w:pos="1276"/>
        </w:tabs>
        <w:ind w:left="1276" w:hanging="567"/>
        <w:jc w:val="both"/>
        <w:rPr>
          <w:rFonts w:asciiTheme="minorHAnsi" w:hAnsiTheme="minorHAnsi"/>
        </w:rPr>
      </w:pPr>
      <w:r>
        <w:rPr>
          <w:rFonts w:asciiTheme="minorHAnsi" w:hAnsiTheme="minorHAnsi"/>
        </w:rPr>
        <w:tab/>
        <w:t>Podmienka je relevantná iba pre subjekty, ktoré sú v zmysle výzvy povinné preukázať splnenie tejto podmienky poskytnutia príspevku.</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Investícia musí byť v súlade s normami EÚ a SR, týkajúcimi sa danej investície.</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Žiadateľ, na ktorého sa vzťahuje povinnosť registrácie v registri partnerov verejného sektora, musí byť zapísaný v registri podľa zákona č. 315/2016 Z.z. o registri partnerov verejného sektora a o zmene a doplnení niektorých zákonov.</w:t>
      </w:r>
      <w:r>
        <w:rPr>
          <w:rFonts w:ascii="Helvetica" w:hAnsi="Helvetica" w:cs="Helvetica"/>
          <w:color w:val="494949"/>
          <w:sz w:val="21"/>
          <w:szCs w:val="21"/>
        </w:rPr>
        <w:t xml:space="preserve"> </w:t>
      </w:r>
      <w:r>
        <w:rPr>
          <w:rFonts w:asciiTheme="minorHAnsi" w:hAnsiTheme="minorHAnsi" w:cs="Helvetica"/>
          <w:color w:val="494949"/>
          <w:sz w:val="22"/>
          <w:szCs w:val="21"/>
        </w:rPr>
        <w:t>– netýka sa tejto výzvy</w:t>
      </w:r>
    </w:p>
    <w:p w:rsidR="00AE15C6" w:rsidRDefault="007C2CF9">
      <w:pPr>
        <w:pStyle w:val="Odsekzoznamu"/>
        <w:numPr>
          <w:ilvl w:val="0"/>
          <w:numId w:val="21"/>
        </w:numPr>
        <w:tabs>
          <w:tab w:val="left" w:pos="1276"/>
        </w:tabs>
        <w:suppressAutoHyphens w:val="0"/>
        <w:spacing w:before="120" w:after="120"/>
        <w:ind w:left="1276" w:hanging="567"/>
        <w:jc w:val="both"/>
        <w:rPr>
          <w:rFonts w:asciiTheme="minorHAnsi" w:hAnsiTheme="minorHAnsi"/>
          <w:b/>
        </w:rPr>
      </w:pPr>
      <w:r>
        <w:rPr>
          <w:rFonts w:asciiTheme="minorHAnsi" w:hAnsiTheme="minorHAnsi"/>
          <w:b/>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Pr>
          <w:rStyle w:val="FootnoteAnchor"/>
          <w:rFonts w:asciiTheme="minorHAnsi" w:hAnsiTheme="minorHAnsi"/>
          <w:b/>
        </w:rPr>
        <w:footnoteReference w:id="1"/>
      </w:r>
      <w:r>
        <w:rPr>
          <w:rFonts w:asciiTheme="minorHAnsi" w:hAnsiTheme="minorHAnsi"/>
          <w:b/>
        </w:rPr>
        <w:t>.</w:t>
      </w:r>
    </w:p>
    <w:p w:rsidR="00AE15C6" w:rsidRDefault="00AE15C6">
      <w:pPr>
        <w:tabs>
          <w:tab w:val="left" w:pos="567"/>
          <w:tab w:val="left" w:pos="851"/>
          <w:tab w:val="left" w:pos="2268"/>
        </w:tabs>
        <w:spacing w:line="276" w:lineRule="auto"/>
        <w:ind w:left="709" w:hanging="283"/>
        <w:jc w:val="both"/>
        <w:rPr>
          <w:rFonts w:asciiTheme="minorHAnsi" w:hAnsiTheme="minorHAnsi"/>
        </w:rPr>
      </w:pPr>
    </w:p>
    <w:p w:rsidR="00AE15C6" w:rsidRDefault="007C2CF9">
      <w:pPr>
        <w:pStyle w:val="Odsekzoznamu"/>
        <w:numPr>
          <w:ilvl w:val="2"/>
          <w:numId w:val="11"/>
        </w:numPr>
        <w:tabs>
          <w:tab w:val="left" w:pos="289"/>
        </w:tabs>
        <w:spacing w:line="280" w:lineRule="exact"/>
        <w:ind w:left="1134" w:hanging="834"/>
        <w:jc w:val="both"/>
        <w:rPr>
          <w:rFonts w:asciiTheme="minorHAnsi" w:hAnsiTheme="minorHAnsi"/>
          <w:b/>
        </w:rPr>
      </w:pPr>
      <w:r>
        <w:rPr>
          <w:rFonts w:asciiTheme="minorHAnsi" w:hAnsiTheme="minorHAnsi"/>
          <w:b/>
        </w:rPr>
        <w:t xml:space="preserve">Výberové kritériá </w:t>
      </w:r>
    </w:p>
    <w:p w:rsidR="00AE15C6" w:rsidRDefault="00AE15C6">
      <w:pPr>
        <w:ind w:left="851"/>
        <w:jc w:val="both"/>
        <w:rPr>
          <w:rFonts w:asciiTheme="minorHAnsi" w:hAnsiTheme="minorHAnsi"/>
        </w:rPr>
      </w:pP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Príspevok k aspoň jednej fokusovej oblasti daného opatrenia.</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Investície do využívania OZE a do úspor energie sú oprávnené, len pokiaľ sú tieto investície súčasťou iných investícií v rámci operácie (projektu).</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V prípade projektu predkladaného združeniami obcí musia obce preukázať spoluprácu predložením relevantnej zmluvy.</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Neumožňuje sa umelé rozdeľovanie projektu na etapy, t. z. každý samostatný projekt musí byť po ukončení realizácie funkčný, životaschopný a pod..</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Povinnosť uplatňovať sociálny aspekt pri verejnom obstarávaní.</w:t>
      </w:r>
    </w:p>
    <w:p w:rsidR="00AE15C6" w:rsidRDefault="007C2CF9">
      <w:pPr>
        <w:pStyle w:val="Odsekzoznamu"/>
        <w:numPr>
          <w:ilvl w:val="0"/>
          <w:numId w:val="22"/>
        </w:numPr>
        <w:suppressAutoHyphens w:val="0"/>
        <w:spacing w:after="200" w:line="276" w:lineRule="auto"/>
        <w:ind w:left="1134" w:hanging="425"/>
        <w:contextualSpacing/>
        <w:jc w:val="both"/>
        <w:rPr>
          <w:rFonts w:asciiTheme="minorHAnsi" w:hAnsiTheme="minorHAnsi"/>
        </w:rPr>
      </w:pPr>
      <w:r>
        <w:rPr>
          <w:rFonts w:asciiTheme="minorHAnsi" w:hAnsiTheme="minorHAnsi"/>
        </w:rPr>
        <w:t xml:space="preserve">Posledná žiadosť o platbu sa musí podať v lehote do  štyroch rokov od nadobudnutia účinnosti zmluvy. V prípade výziev, kedy lehota na podanie </w:t>
      </w:r>
      <w:r>
        <w:rPr>
          <w:rFonts w:asciiTheme="minorHAnsi" w:hAnsiTheme="minorHAnsi"/>
        </w:rPr>
        <w:lastRenderedPageBreak/>
        <w:t>poslednej žiadosti o platbu nemôže byť dodržaná (napr. v súvislosti s končiacim sa programovým obdobím), je termín na podanie poslednej žiadosti o platbu najneskôr do 30.06.2023.</w:t>
      </w:r>
    </w:p>
    <w:p w:rsidR="00AE15C6" w:rsidRDefault="00AE15C6">
      <w:pPr>
        <w:pStyle w:val="Odsekzoznamu"/>
        <w:suppressAutoHyphens w:val="0"/>
        <w:spacing w:after="200" w:line="276" w:lineRule="auto"/>
        <w:ind w:left="709"/>
        <w:contextualSpacing/>
        <w:jc w:val="both"/>
        <w:rPr>
          <w:rFonts w:asciiTheme="minorHAnsi" w:hAnsiTheme="minorHAnsi"/>
        </w:rPr>
      </w:pPr>
    </w:p>
    <w:p w:rsidR="00AE15C6" w:rsidRDefault="007C2CF9">
      <w:pPr>
        <w:pStyle w:val="Odsekzoznamu"/>
        <w:numPr>
          <w:ilvl w:val="2"/>
          <w:numId w:val="11"/>
        </w:numPr>
        <w:tabs>
          <w:tab w:val="left" w:pos="289"/>
        </w:tabs>
        <w:spacing w:line="280" w:lineRule="exact"/>
        <w:jc w:val="both"/>
        <w:rPr>
          <w:rFonts w:asciiTheme="minorHAnsi" w:hAnsiTheme="minorHAnsi"/>
          <w:b/>
        </w:rPr>
      </w:pPr>
      <w:r>
        <w:rPr>
          <w:rFonts w:asciiTheme="minorHAnsi" w:hAnsiTheme="minorHAnsi"/>
          <w:b/>
        </w:rPr>
        <w:t xml:space="preserve">Bodovacie (hodnotiace) kritériá </w:t>
      </w:r>
    </w:p>
    <w:p w:rsidR="00AE15C6" w:rsidRDefault="00AE15C6">
      <w:pPr>
        <w:ind w:left="851"/>
        <w:jc w:val="both"/>
        <w:rPr>
          <w:rFonts w:asciiTheme="minorHAnsi" w:hAnsiTheme="minorHAnsi"/>
          <w:b/>
        </w:rPr>
      </w:pPr>
    </w:p>
    <w:p w:rsidR="00AE15C6" w:rsidRDefault="007C2CF9">
      <w:pPr>
        <w:pStyle w:val="Odsekzoznamu"/>
        <w:suppressAutoHyphens w:val="0"/>
        <w:spacing w:after="120"/>
        <w:ind w:left="709" w:right="-489"/>
        <w:contextualSpacing/>
        <w:jc w:val="both"/>
        <w:rPr>
          <w:rFonts w:asciiTheme="minorHAnsi" w:hAnsiTheme="minorHAnsi"/>
          <w:b/>
        </w:rPr>
      </w:pPr>
      <w:r>
        <w:rPr>
          <w:rFonts w:asciiTheme="minorHAnsi" w:hAnsiTheme="minorHAnsi"/>
        </w:rPr>
        <w:t>Hodnotenie sa uplatní zvlášť pri ŽoNFP  na aktivitu 1 a zvlášť pri ŽoNFP na jednu z aktivít 2 – 5, zvlášť pri ŽoNFP  na aktivitu 6 (v zmysle bodu 1.6, ods. 1) tak, ako je zvlášť členená aj indikatívna výška finančných prostriedkov v bode 1.3.</w:t>
      </w:r>
    </w:p>
    <w:p w:rsidR="00AE15C6" w:rsidRDefault="00AE15C6">
      <w:pPr>
        <w:ind w:left="851"/>
        <w:jc w:val="both"/>
        <w:rPr>
          <w:rFonts w:asciiTheme="minorHAnsi" w:hAnsiTheme="minorHAnsi"/>
          <w:b/>
        </w:rPr>
      </w:pPr>
    </w:p>
    <w:p w:rsidR="00AE15C6" w:rsidRDefault="007C2CF9">
      <w:pPr>
        <w:numPr>
          <w:ilvl w:val="4"/>
          <w:numId w:val="5"/>
        </w:numPr>
        <w:ind w:hanging="1854"/>
        <w:jc w:val="both"/>
        <w:rPr>
          <w:rFonts w:asciiTheme="minorHAnsi" w:hAnsiTheme="minorHAnsi"/>
        </w:rPr>
      </w:pPr>
      <w:r>
        <w:rPr>
          <w:rFonts w:asciiTheme="minorHAnsi" w:hAnsiTheme="minorHAnsi"/>
          <w:b/>
        </w:rPr>
        <w:t xml:space="preserve">Princípy uplatnenia hodnotiacich kritérií: </w:t>
      </w:r>
    </w:p>
    <w:tbl>
      <w:tblPr>
        <w:tblW w:w="8505" w:type="dxa"/>
        <w:tblInd w:w="67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568"/>
        <w:gridCol w:w="3828"/>
        <w:gridCol w:w="992"/>
        <w:gridCol w:w="3117"/>
      </w:tblGrid>
      <w:tr w:rsidR="00AE15C6">
        <w:tc>
          <w:tcPr>
            <w:tcW w:w="567" w:type="dxa"/>
            <w:tcBorders>
              <w:top w:val="single" w:sz="4" w:space="0" w:color="00000A"/>
              <w:left w:val="single" w:sz="4" w:space="0" w:color="00000A"/>
              <w:bottom w:val="single" w:sz="4" w:space="0" w:color="00000A"/>
              <w:right w:val="single" w:sz="4" w:space="0" w:color="00000A"/>
            </w:tcBorders>
            <w:shd w:val="clear" w:color="auto" w:fill="92D050"/>
            <w:tcMar>
              <w:left w:w="108" w:type="dxa"/>
            </w:tcMar>
          </w:tcPr>
          <w:p w:rsidR="00AE15C6" w:rsidRDefault="007C2CF9">
            <w:pPr>
              <w:rPr>
                <w:rFonts w:asciiTheme="minorHAnsi" w:hAnsiTheme="minorHAnsi"/>
                <w:sz w:val="18"/>
                <w:szCs w:val="18"/>
              </w:rPr>
            </w:pPr>
            <w:r>
              <w:rPr>
                <w:rFonts w:asciiTheme="minorHAnsi" w:hAnsiTheme="minorHAnsi"/>
                <w:sz w:val="18"/>
                <w:szCs w:val="18"/>
              </w:rPr>
              <w:t>P. č.</w:t>
            </w:r>
          </w:p>
        </w:tc>
        <w:tc>
          <w:tcPr>
            <w:tcW w:w="3828" w:type="dxa"/>
            <w:tcBorders>
              <w:top w:val="single" w:sz="4" w:space="0" w:color="00000A"/>
              <w:left w:val="single" w:sz="4" w:space="0" w:color="00000A"/>
              <w:bottom w:val="single" w:sz="4" w:space="0" w:color="00000A"/>
              <w:right w:val="single" w:sz="4" w:space="0" w:color="00000A"/>
            </w:tcBorders>
            <w:shd w:val="clear" w:color="auto" w:fill="92D050"/>
            <w:tcMar>
              <w:left w:w="108" w:type="dxa"/>
            </w:tcMar>
          </w:tcPr>
          <w:p w:rsidR="00AE15C6" w:rsidRDefault="007C2CF9">
            <w:pPr>
              <w:rPr>
                <w:rFonts w:asciiTheme="minorHAnsi" w:hAnsiTheme="minorHAnsi"/>
                <w:sz w:val="18"/>
                <w:szCs w:val="18"/>
              </w:rPr>
            </w:pPr>
            <w:r>
              <w:rPr>
                <w:rFonts w:asciiTheme="minorHAnsi" w:hAnsiTheme="minorHAnsi"/>
                <w:sz w:val="18"/>
                <w:szCs w:val="18"/>
              </w:rPr>
              <w:t>Kritérium</w:t>
            </w:r>
          </w:p>
        </w:tc>
        <w:tc>
          <w:tcPr>
            <w:tcW w:w="992" w:type="dxa"/>
            <w:tcBorders>
              <w:top w:val="single" w:sz="4" w:space="0" w:color="00000A"/>
              <w:left w:val="single" w:sz="4" w:space="0" w:color="00000A"/>
              <w:bottom w:val="single" w:sz="4" w:space="0" w:color="00000A"/>
              <w:right w:val="single" w:sz="4" w:space="0" w:color="00000A"/>
            </w:tcBorders>
            <w:shd w:val="clear" w:color="auto" w:fill="92D050"/>
            <w:tcMar>
              <w:left w:w="108" w:type="dxa"/>
            </w:tcMar>
          </w:tcPr>
          <w:p w:rsidR="00AE15C6" w:rsidRDefault="007C2CF9">
            <w:pPr>
              <w:jc w:val="center"/>
              <w:rPr>
                <w:rFonts w:asciiTheme="minorHAnsi" w:hAnsiTheme="minorHAnsi"/>
                <w:sz w:val="18"/>
                <w:szCs w:val="18"/>
              </w:rPr>
            </w:pPr>
            <w:r>
              <w:rPr>
                <w:rFonts w:asciiTheme="minorHAnsi" w:hAnsiTheme="minorHAnsi"/>
                <w:sz w:val="18"/>
                <w:szCs w:val="18"/>
              </w:rPr>
              <w:t>Body</w:t>
            </w: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rPr>
                <w:rFonts w:asciiTheme="minorHAnsi" w:hAnsiTheme="minorHAnsi"/>
                <w:sz w:val="18"/>
                <w:szCs w:val="18"/>
              </w:rPr>
            </w:pPr>
            <w:r>
              <w:rPr>
                <w:rFonts w:asciiTheme="minorHAnsi" w:hAnsiTheme="minorHAnsi"/>
                <w:sz w:val="18"/>
                <w:szCs w:val="18"/>
              </w:rPr>
              <w:t>Poznámka</w:t>
            </w: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Projekt sa realizuje v okrese s priemernou mierou evidovanej nezamestnanosti k 31.12. roku predchádzajúcom roku vyhlásenia výzvy: </w:t>
            </w:r>
          </w:p>
          <w:p w:rsidR="00AE15C6" w:rsidRDefault="007C2CF9">
            <w:pPr>
              <w:numPr>
                <w:ilvl w:val="0"/>
                <w:numId w:val="9"/>
              </w:numPr>
              <w:suppressAutoHyphens w:val="0"/>
              <w:ind w:firstLine="951"/>
              <w:jc w:val="both"/>
              <w:rPr>
                <w:rFonts w:asciiTheme="minorHAnsi" w:hAnsiTheme="minorHAnsi"/>
                <w:sz w:val="18"/>
                <w:szCs w:val="18"/>
              </w:rPr>
            </w:pPr>
            <w:r>
              <w:rPr>
                <w:rFonts w:asciiTheme="minorHAnsi" w:hAnsiTheme="minorHAnsi"/>
                <w:sz w:val="18"/>
                <w:szCs w:val="18"/>
              </w:rPr>
              <w:t>do 15 % vrátane</w:t>
            </w:r>
          </w:p>
          <w:p w:rsidR="00AE15C6" w:rsidRDefault="007C2CF9">
            <w:pPr>
              <w:numPr>
                <w:ilvl w:val="0"/>
                <w:numId w:val="9"/>
              </w:numPr>
              <w:suppressAutoHyphens w:val="0"/>
              <w:ind w:firstLine="951"/>
              <w:jc w:val="both"/>
              <w:rPr>
                <w:rFonts w:asciiTheme="minorHAnsi" w:hAnsiTheme="minorHAnsi"/>
                <w:sz w:val="18"/>
                <w:szCs w:val="18"/>
              </w:rPr>
            </w:pPr>
            <w:r>
              <w:rPr>
                <w:rFonts w:asciiTheme="minorHAnsi" w:hAnsiTheme="minorHAnsi"/>
                <w:sz w:val="18"/>
                <w:szCs w:val="18"/>
              </w:rPr>
              <w:t>nad 15%</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AE15C6">
            <w:pPr>
              <w:rPr>
                <w:rFonts w:asciiTheme="minorHAnsi" w:hAnsiTheme="minorHAnsi"/>
                <w:sz w:val="18"/>
                <w:szCs w:val="18"/>
              </w:rPr>
            </w:pPr>
          </w:p>
          <w:p w:rsidR="00AE15C6" w:rsidRDefault="00AE15C6">
            <w:pPr>
              <w:rPr>
                <w:rFonts w:asciiTheme="minorHAnsi" w:hAnsiTheme="minorHAnsi"/>
                <w:sz w:val="18"/>
                <w:szCs w:val="18"/>
              </w:rPr>
            </w:pPr>
          </w:p>
          <w:p w:rsidR="00AE15C6" w:rsidRDefault="00AE15C6">
            <w:pP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14</w:t>
            </w:r>
          </w:p>
          <w:p w:rsidR="00AE15C6" w:rsidRDefault="007C2CF9">
            <w:pPr>
              <w:jc w:val="center"/>
              <w:rPr>
                <w:rFonts w:asciiTheme="minorHAnsi" w:hAnsiTheme="minorHAnsi"/>
                <w:sz w:val="18"/>
                <w:szCs w:val="18"/>
              </w:rPr>
            </w:pPr>
            <w:r>
              <w:rPr>
                <w:rFonts w:asciiTheme="minorHAnsi" w:hAnsiTheme="minorHAnsi"/>
                <w:sz w:val="18"/>
                <w:szCs w:val="18"/>
              </w:rPr>
              <w:t>16</w:t>
            </w: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V prípade, ak sa projekt realizuje vo viacerých okresoch, body sa pridelia na základe nezamestnanosti vypočítanej aritmetickým priemerom z údajov nezamestnanosti všetkých okresov, kde sa projekt realizuje.</w:t>
            </w: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2.</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rPr>
                <w:rFonts w:asciiTheme="minorHAnsi" w:hAnsiTheme="minorHAnsi"/>
                <w:sz w:val="18"/>
                <w:szCs w:val="18"/>
              </w:rPr>
            </w:pPr>
            <w:r>
              <w:rPr>
                <w:rFonts w:asciiTheme="minorHAnsi" w:hAnsiTheme="minorHAnsi"/>
                <w:sz w:val="18"/>
                <w:szCs w:val="18"/>
              </w:rPr>
              <w:t>Vidieckosť (hustota obyvateľstva na km</w:t>
            </w:r>
            <w:r>
              <w:rPr>
                <w:rFonts w:asciiTheme="minorHAnsi" w:hAnsiTheme="minorHAnsi"/>
                <w:sz w:val="18"/>
                <w:szCs w:val="18"/>
                <w:vertAlign w:val="superscript"/>
              </w:rPr>
              <w:t>2</w:t>
            </w:r>
            <w:r>
              <w:rPr>
                <w:rFonts w:asciiTheme="minorHAnsi" w:hAnsiTheme="minorHAnsi"/>
                <w:sz w:val="18"/>
                <w:szCs w:val="18"/>
              </w:rPr>
              <w:t>):</w:t>
            </w:r>
          </w:p>
          <w:p w:rsidR="00AE15C6" w:rsidRDefault="007C2CF9">
            <w:pPr>
              <w:jc w:val="both"/>
              <w:rPr>
                <w:rFonts w:asciiTheme="minorHAnsi" w:hAnsiTheme="minorHAnsi"/>
                <w:sz w:val="18"/>
                <w:szCs w:val="18"/>
              </w:rPr>
            </w:pPr>
            <w:r>
              <w:rPr>
                <w:rFonts w:asciiTheme="minorHAnsi" w:hAnsiTheme="minorHAnsi"/>
                <w:sz w:val="18"/>
                <w:szCs w:val="18"/>
              </w:rPr>
              <w:t>Projekt je umiestnený v obci s nasledovnou hustotou obyvateľov na km</w:t>
            </w:r>
            <w:r>
              <w:rPr>
                <w:rFonts w:asciiTheme="minorHAnsi" w:hAnsiTheme="minorHAnsi"/>
                <w:sz w:val="18"/>
                <w:szCs w:val="18"/>
                <w:vertAlign w:val="superscript"/>
              </w:rPr>
              <w:t>2</w:t>
            </w:r>
            <w:r>
              <w:rPr>
                <w:rFonts w:asciiTheme="minorHAnsi" w:hAnsiTheme="minorHAnsi"/>
                <w:sz w:val="18"/>
                <w:szCs w:val="18"/>
              </w:rPr>
              <w:t>:</w:t>
            </w:r>
          </w:p>
          <w:p w:rsidR="00AE15C6" w:rsidRDefault="007C2CF9">
            <w:pPr>
              <w:rPr>
                <w:rFonts w:asciiTheme="minorHAnsi" w:hAnsiTheme="minorHAnsi"/>
                <w:sz w:val="18"/>
                <w:szCs w:val="18"/>
              </w:rPr>
            </w:pPr>
            <w:r>
              <w:rPr>
                <w:rFonts w:asciiTheme="minorHAnsi" w:hAnsiTheme="minorHAnsi"/>
                <w:sz w:val="18"/>
                <w:szCs w:val="18"/>
              </w:rPr>
              <w:t>– do 50 vrátane</w:t>
            </w:r>
          </w:p>
          <w:p w:rsidR="00AE15C6" w:rsidRDefault="007C2CF9">
            <w:pPr>
              <w:rPr>
                <w:rFonts w:asciiTheme="minorHAnsi" w:hAnsiTheme="minorHAnsi"/>
                <w:sz w:val="18"/>
                <w:szCs w:val="18"/>
              </w:rPr>
            </w:pPr>
            <w:r>
              <w:rPr>
                <w:rFonts w:asciiTheme="minorHAnsi" w:hAnsiTheme="minorHAnsi"/>
                <w:sz w:val="18"/>
                <w:szCs w:val="18"/>
              </w:rPr>
              <w:t>– nad 50 do 100 vrátane</w:t>
            </w:r>
          </w:p>
          <w:p w:rsidR="00AE15C6" w:rsidRDefault="007C2CF9">
            <w:pPr>
              <w:rPr>
                <w:rFonts w:asciiTheme="minorHAnsi" w:hAnsiTheme="minorHAnsi"/>
                <w:sz w:val="18"/>
                <w:szCs w:val="18"/>
              </w:rPr>
            </w:pPr>
            <w:r>
              <w:rPr>
                <w:rFonts w:asciiTheme="minorHAnsi" w:hAnsiTheme="minorHAnsi"/>
                <w:sz w:val="18"/>
                <w:szCs w:val="18"/>
              </w:rPr>
              <w:t xml:space="preserve">– nad 100  </w:t>
            </w:r>
          </w:p>
          <w:p w:rsidR="00AE15C6" w:rsidRDefault="007C2CF9">
            <w:pPr>
              <w:jc w:val="both"/>
              <w:rPr>
                <w:rFonts w:asciiTheme="minorHAnsi" w:hAnsiTheme="minorHAnsi"/>
                <w:sz w:val="18"/>
                <w:szCs w:val="18"/>
              </w:rPr>
            </w:pPr>
            <w:r>
              <w:rPr>
                <w:rFonts w:asciiTheme="minorHAnsi" w:hAnsiTheme="minorHAnsi"/>
                <w:sz w:val="18"/>
                <w:szCs w:val="18"/>
              </w:rPr>
              <w:t>Projekt je umiestnený v okrese s nasledovnou  hustotou obyvateľov na km</w:t>
            </w:r>
            <w:r>
              <w:rPr>
                <w:rFonts w:asciiTheme="minorHAnsi" w:hAnsiTheme="minorHAnsi"/>
                <w:sz w:val="18"/>
                <w:szCs w:val="18"/>
                <w:vertAlign w:val="superscript"/>
              </w:rPr>
              <w:t>2</w:t>
            </w:r>
            <w:r>
              <w:rPr>
                <w:rFonts w:asciiTheme="minorHAnsi" w:hAnsiTheme="minorHAnsi"/>
                <w:sz w:val="18"/>
                <w:szCs w:val="18"/>
              </w:rPr>
              <w:t>:</w:t>
            </w:r>
          </w:p>
          <w:p w:rsidR="00AE15C6" w:rsidRDefault="007C2CF9">
            <w:pPr>
              <w:rPr>
                <w:rFonts w:asciiTheme="minorHAnsi" w:hAnsiTheme="minorHAnsi"/>
                <w:sz w:val="18"/>
                <w:szCs w:val="18"/>
              </w:rPr>
            </w:pPr>
            <w:r>
              <w:rPr>
                <w:rFonts w:asciiTheme="minorHAnsi" w:hAnsiTheme="minorHAnsi"/>
                <w:sz w:val="18"/>
                <w:szCs w:val="18"/>
              </w:rPr>
              <w:t>– do 50 vrátane</w:t>
            </w:r>
          </w:p>
          <w:p w:rsidR="00AE15C6" w:rsidRDefault="007C2CF9">
            <w:pPr>
              <w:rPr>
                <w:rFonts w:asciiTheme="minorHAnsi" w:hAnsiTheme="minorHAnsi"/>
                <w:sz w:val="18"/>
                <w:szCs w:val="18"/>
              </w:rPr>
            </w:pPr>
            <w:r>
              <w:rPr>
                <w:rFonts w:asciiTheme="minorHAnsi" w:hAnsiTheme="minorHAnsi"/>
                <w:sz w:val="18"/>
                <w:szCs w:val="18"/>
              </w:rPr>
              <w:t>– nad 50 do 100 vrátane</w:t>
            </w:r>
          </w:p>
          <w:p w:rsidR="00AE15C6" w:rsidRDefault="007C2CF9">
            <w:pPr>
              <w:rPr>
                <w:rFonts w:asciiTheme="minorHAnsi" w:hAnsiTheme="minorHAnsi"/>
                <w:sz w:val="18"/>
                <w:szCs w:val="18"/>
              </w:rPr>
            </w:pPr>
            <w:r>
              <w:rPr>
                <w:rFonts w:asciiTheme="minorHAnsi" w:hAnsiTheme="minorHAnsi"/>
                <w:sz w:val="18"/>
                <w:szCs w:val="18"/>
              </w:rPr>
              <w:t xml:space="preserve">– nad 100  </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AE15C6">
            <w:pPr>
              <w:rPr>
                <w:rFonts w:asciiTheme="minorHAnsi" w:hAnsiTheme="minorHAnsi"/>
                <w:sz w:val="18"/>
                <w:szCs w:val="18"/>
              </w:rPr>
            </w:pPr>
          </w:p>
          <w:p w:rsidR="00AE15C6" w:rsidRDefault="00AE15C6">
            <w:pPr>
              <w:jc w:val="cente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3</w:t>
            </w:r>
          </w:p>
          <w:p w:rsidR="00AE15C6" w:rsidRDefault="007C2CF9">
            <w:pPr>
              <w:jc w:val="center"/>
              <w:rPr>
                <w:rFonts w:asciiTheme="minorHAnsi" w:hAnsiTheme="minorHAnsi"/>
                <w:sz w:val="18"/>
                <w:szCs w:val="18"/>
              </w:rPr>
            </w:pPr>
            <w:r>
              <w:rPr>
                <w:rFonts w:asciiTheme="minorHAnsi" w:hAnsiTheme="minorHAnsi"/>
                <w:sz w:val="18"/>
                <w:szCs w:val="18"/>
              </w:rPr>
              <w:t>2</w:t>
            </w:r>
          </w:p>
          <w:p w:rsidR="00AE15C6" w:rsidRDefault="007C2CF9">
            <w:pPr>
              <w:jc w:val="center"/>
              <w:rPr>
                <w:rFonts w:asciiTheme="minorHAnsi" w:hAnsiTheme="minorHAnsi"/>
                <w:sz w:val="18"/>
                <w:szCs w:val="18"/>
              </w:rPr>
            </w:pPr>
            <w:r>
              <w:rPr>
                <w:rFonts w:asciiTheme="minorHAnsi" w:hAnsiTheme="minorHAnsi"/>
                <w:sz w:val="18"/>
                <w:szCs w:val="18"/>
              </w:rPr>
              <w:t>1</w:t>
            </w:r>
          </w:p>
          <w:p w:rsidR="00AE15C6" w:rsidRDefault="00AE15C6">
            <w:pPr>
              <w:rPr>
                <w:rFonts w:asciiTheme="minorHAnsi" w:hAnsiTheme="minorHAnsi"/>
                <w:sz w:val="18"/>
                <w:szCs w:val="18"/>
              </w:rPr>
            </w:pPr>
          </w:p>
          <w:p w:rsidR="00AE15C6" w:rsidRDefault="00AE15C6">
            <w:pPr>
              <w:rPr>
                <w:rFonts w:asciiTheme="minorHAnsi" w:hAnsiTheme="minorHAnsi"/>
                <w:sz w:val="18"/>
                <w:szCs w:val="18"/>
              </w:rPr>
            </w:pPr>
          </w:p>
          <w:p w:rsidR="00AE15C6" w:rsidRDefault="00AE15C6">
            <w:pP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3</w:t>
            </w:r>
          </w:p>
          <w:p w:rsidR="00AE15C6" w:rsidRDefault="007C2CF9">
            <w:pPr>
              <w:jc w:val="center"/>
              <w:rPr>
                <w:rFonts w:asciiTheme="minorHAnsi" w:hAnsiTheme="minorHAnsi"/>
                <w:sz w:val="18"/>
                <w:szCs w:val="18"/>
              </w:rPr>
            </w:pPr>
            <w:r>
              <w:rPr>
                <w:rFonts w:asciiTheme="minorHAnsi" w:hAnsiTheme="minorHAnsi"/>
                <w:sz w:val="18"/>
                <w:szCs w:val="18"/>
              </w:rPr>
              <w:t>2</w:t>
            </w:r>
          </w:p>
          <w:p w:rsidR="00AE15C6" w:rsidRDefault="007C2CF9">
            <w:pPr>
              <w:jc w:val="center"/>
              <w:rPr>
                <w:rFonts w:asciiTheme="minorHAnsi" w:hAnsiTheme="minorHAnsi"/>
                <w:sz w:val="18"/>
                <w:szCs w:val="18"/>
              </w:rPr>
            </w:pPr>
            <w:r>
              <w:rPr>
                <w:rFonts w:asciiTheme="minorHAnsi" w:hAnsiTheme="minorHAnsi"/>
                <w:sz w:val="18"/>
                <w:szCs w:val="18"/>
              </w:rPr>
              <w:t>1</w:t>
            </w: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Maximálne 6 bodov. Údaje k 31.12 predchádzajúceho roka výzvy. U združení obcí sa vypočíta váženým aritmetickým priemerom.</w:t>
            </w:r>
          </w:p>
          <w:p w:rsidR="00AE15C6" w:rsidRDefault="00AE15C6">
            <w:pPr>
              <w:rPr>
                <w:rFonts w:asciiTheme="minorHAnsi" w:hAnsiTheme="minorHAnsi"/>
                <w:sz w:val="18"/>
                <w:szCs w:val="18"/>
              </w:rPr>
            </w:pPr>
          </w:p>
          <w:p w:rsidR="00AE15C6" w:rsidRDefault="00AE15C6">
            <w:pPr>
              <w:rPr>
                <w:rFonts w:asciiTheme="minorHAnsi" w:hAnsiTheme="minorHAnsi"/>
                <w:sz w:val="18"/>
                <w:szCs w:val="18"/>
              </w:rPr>
            </w:pP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Projekt podáva a je realizovaný v obci do 500 obyvateľov    alebo projekt má dosah na viac obcí a podáva ho združenie obcí</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AE15C6">
            <w:pP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2</w:t>
            </w:r>
          </w:p>
          <w:p w:rsidR="00AE15C6" w:rsidRDefault="00AE15C6">
            <w:pPr>
              <w:rPr>
                <w:rFonts w:asciiTheme="minorHAnsi" w:hAnsiTheme="minorHAnsi"/>
                <w:sz w:val="18"/>
                <w:szCs w:val="18"/>
              </w:rPr>
            </w:pP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AE15C6">
            <w:pPr>
              <w:rPr>
                <w:rFonts w:asciiTheme="minorHAnsi" w:hAnsiTheme="minorHAnsi"/>
                <w:sz w:val="18"/>
                <w:szCs w:val="18"/>
              </w:rPr>
            </w:pP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4.</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Deklarované oprávnené výdavky žiadateľom  v súvislosti s projektom sú:</w:t>
            </w:r>
          </w:p>
          <w:p w:rsidR="00AE15C6" w:rsidRDefault="007C2CF9">
            <w:pPr>
              <w:rPr>
                <w:rFonts w:asciiTheme="minorHAnsi" w:hAnsiTheme="minorHAnsi"/>
                <w:sz w:val="18"/>
                <w:szCs w:val="18"/>
              </w:rPr>
            </w:pPr>
            <w:r>
              <w:rPr>
                <w:rFonts w:asciiTheme="minorHAnsi" w:hAnsiTheme="minorHAnsi"/>
                <w:sz w:val="18"/>
                <w:szCs w:val="18"/>
              </w:rPr>
              <w:t>Pri obciach do 500 obyvateľov  vrátane</w:t>
            </w:r>
          </w:p>
          <w:p w:rsidR="00AE15C6" w:rsidRDefault="007C2CF9">
            <w:pPr>
              <w:pStyle w:val="Odsekzoznamu"/>
              <w:numPr>
                <w:ilvl w:val="0"/>
                <w:numId w:val="25"/>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max. vo výške 100 tis. EUR vrátane</w:t>
            </w:r>
          </w:p>
          <w:p w:rsidR="00AE15C6" w:rsidRDefault="007C2CF9">
            <w:pPr>
              <w:pStyle w:val="Odsekzoznamu"/>
              <w:numPr>
                <w:ilvl w:val="0"/>
                <w:numId w:val="25"/>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max. vo výške 150 tis. EUR vrátane</w:t>
            </w:r>
          </w:p>
          <w:p w:rsidR="00AE15C6" w:rsidRDefault="007C2CF9">
            <w:pPr>
              <w:pStyle w:val="Odsekzoznamu"/>
              <w:numPr>
                <w:ilvl w:val="0"/>
                <w:numId w:val="25"/>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viac ako 150 tis. EUR</w:t>
            </w:r>
          </w:p>
          <w:p w:rsidR="00AE15C6" w:rsidRDefault="007C2CF9">
            <w:pPr>
              <w:rPr>
                <w:rFonts w:asciiTheme="minorHAnsi" w:hAnsiTheme="minorHAnsi"/>
                <w:sz w:val="18"/>
                <w:szCs w:val="18"/>
              </w:rPr>
            </w:pPr>
            <w:r>
              <w:rPr>
                <w:rFonts w:asciiTheme="minorHAnsi" w:hAnsiTheme="minorHAnsi"/>
                <w:sz w:val="18"/>
                <w:szCs w:val="18"/>
              </w:rPr>
              <w:t>Pri obciach nad 500  do 750 obyvateľov vrátane</w:t>
            </w:r>
          </w:p>
          <w:p w:rsidR="00AE15C6" w:rsidRDefault="007C2CF9">
            <w:pPr>
              <w:pStyle w:val="Odsekzoznamu"/>
              <w:numPr>
                <w:ilvl w:val="0"/>
                <w:numId w:val="23"/>
              </w:numPr>
              <w:suppressAutoHyphens w:val="0"/>
              <w:spacing w:after="240"/>
              <w:ind w:left="318" w:hanging="284"/>
              <w:contextualSpacing/>
              <w:jc w:val="both"/>
              <w:rPr>
                <w:rFonts w:asciiTheme="minorHAnsi" w:hAnsiTheme="minorHAnsi"/>
                <w:sz w:val="18"/>
                <w:szCs w:val="18"/>
              </w:rPr>
            </w:pPr>
            <w:r>
              <w:rPr>
                <w:rFonts w:asciiTheme="minorHAnsi" w:hAnsiTheme="minorHAnsi"/>
                <w:sz w:val="18"/>
                <w:szCs w:val="18"/>
              </w:rPr>
              <w:t>max. vo výške 150 tis. EUR vrátane</w:t>
            </w:r>
          </w:p>
          <w:p w:rsidR="00AE15C6" w:rsidRDefault="007C2CF9">
            <w:pPr>
              <w:pStyle w:val="Odsekzoznamu"/>
              <w:numPr>
                <w:ilvl w:val="0"/>
                <w:numId w:val="23"/>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max. vo výške 200 tis. EUR vrátane</w:t>
            </w:r>
          </w:p>
          <w:p w:rsidR="00AE15C6" w:rsidRDefault="007C2CF9">
            <w:pPr>
              <w:pStyle w:val="Odsekzoznamu"/>
              <w:numPr>
                <w:ilvl w:val="0"/>
                <w:numId w:val="23"/>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viac ako 200 tis. EUR</w:t>
            </w:r>
          </w:p>
          <w:p w:rsidR="00AE15C6" w:rsidRDefault="007C2CF9">
            <w:pPr>
              <w:rPr>
                <w:rFonts w:asciiTheme="minorHAnsi" w:hAnsiTheme="minorHAnsi"/>
                <w:sz w:val="18"/>
                <w:szCs w:val="18"/>
              </w:rPr>
            </w:pPr>
            <w:r>
              <w:rPr>
                <w:rFonts w:asciiTheme="minorHAnsi" w:hAnsiTheme="minorHAnsi"/>
                <w:sz w:val="18"/>
                <w:szCs w:val="18"/>
              </w:rPr>
              <w:t xml:space="preserve">Pri obciach nad 750 do 1000 obyvateľov  </w:t>
            </w:r>
          </w:p>
          <w:p w:rsidR="00AE15C6" w:rsidRDefault="007C2CF9">
            <w:pPr>
              <w:pStyle w:val="Odsekzoznamu"/>
              <w:numPr>
                <w:ilvl w:val="0"/>
                <w:numId w:val="24"/>
              </w:numPr>
              <w:suppressAutoHyphens w:val="0"/>
              <w:ind w:left="318" w:hanging="284"/>
              <w:contextualSpacing/>
              <w:jc w:val="both"/>
              <w:rPr>
                <w:rFonts w:asciiTheme="minorHAnsi" w:hAnsiTheme="minorHAnsi"/>
                <w:sz w:val="18"/>
                <w:szCs w:val="18"/>
              </w:rPr>
            </w:pPr>
            <w:r>
              <w:rPr>
                <w:rFonts w:asciiTheme="minorHAnsi" w:hAnsiTheme="minorHAnsi"/>
                <w:sz w:val="18"/>
                <w:szCs w:val="18"/>
              </w:rPr>
              <w:t>max. vo výške 200 tis. EUR vrátane</w:t>
            </w:r>
          </w:p>
          <w:p w:rsidR="00AE15C6" w:rsidRDefault="007C2CF9">
            <w:pPr>
              <w:pStyle w:val="Odsekzoznamu"/>
              <w:numPr>
                <w:ilvl w:val="0"/>
                <w:numId w:val="24"/>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max. vo výške 250 tis. EUR vrátane</w:t>
            </w:r>
          </w:p>
          <w:p w:rsidR="00AE15C6" w:rsidRDefault="007C2CF9">
            <w:pPr>
              <w:pStyle w:val="Odsekzoznamu"/>
              <w:numPr>
                <w:ilvl w:val="0"/>
                <w:numId w:val="24"/>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viac ako 250 tis. EUR</w:t>
            </w:r>
          </w:p>
          <w:p w:rsidR="00AE15C6" w:rsidRDefault="007C2CF9">
            <w:pPr>
              <w:rPr>
                <w:rFonts w:asciiTheme="minorHAnsi" w:hAnsiTheme="minorHAnsi"/>
                <w:sz w:val="18"/>
                <w:szCs w:val="18"/>
              </w:rPr>
            </w:pPr>
            <w:r>
              <w:rPr>
                <w:rFonts w:asciiTheme="minorHAnsi" w:hAnsiTheme="minorHAnsi"/>
                <w:sz w:val="18"/>
                <w:szCs w:val="18"/>
              </w:rPr>
              <w:t xml:space="preserve">Pri združení obcí  </w:t>
            </w:r>
          </w:p>
          <w:p w:rsidR="00AE15C6" w:rsidRDefault="007C2CF9">
            <w:pPr>
              <w:pStyle w:val="Odsekzoznamu"/>
              <w:numPr>
                <w:ilvl w:val="0"/>
                <w:numId w:val="26"/>
              </w:numPr>
              <w:suppressAutoHyphens w:val="0"/>
              <w:ind w:left="318" w:hanging="284"/>
              <w:contextualSpacing/>
              <w:jc w:val="both"/>
              <w:rPr>
                <w:rFonts w:asciiTheme="minorHAnsi" w:hAnsiTheme="minorHAnsi"/>
                <w:sz w:val="18"/>
                <w:szCs w:val="18"/>
              </w:rPr>
            </w:pPr>
            <w:r>
              <w:rPr>
                <w:rFonts w:asciiTheme="minorHAnsi" w:hAnsiTheme="minorHAnsi"/>
                <w:sz w:val="18"/>
                <w:szCs w:val="18"/>
              </w:rPr>
              <w:t>max. vo výške 250 tis. EUR vrátane</w:t>
            </w:r>
          </w:p>
          <w:p w:rsidR="00AE15C6" w:rsidRDefault="007C2CF9">
            <w:pPr>
              <w:pStyle w:val="Odsekzoznamu"/>
              <w:numPr>
                <w:ilvl w:val="0"/>
                <w:numId w:val="26"/>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max. vo výške 300 tis. EUR vrátane</w:t>
            </w:r>
          </w:p>
          <w:p w:rsidR="00AE15C6" w:rsidRDefault="007C2CF9">
            <w:pPr>
              <w:pStyle w:val="Odsekzoznamu"/>
              <w:numPr>
                <w:ilvl w:val="0"/>
                <w:numId w:val="26"/>
              </w:numPr>
              <w:suppressAutoHyphens w:val="0"/>
              <w:spacing w:before="120"/>
              <w:ind w:left="318" w:hanging="284"/>
              <w:contextualSpacing/>
              <w:jc w:val="both"/>
              <w:rPr>
                <w:rFonts w:asciiTheme="minorHAnsi" w:hAnsiTheme="minorHAnsi"/>
                <w:sz w:val="18"/>
                <w:szCs w:val="18"/>
              </w:rPr>
            </w:pPr>
            <w:r>
              <w:rPr>
                <w:rFonts w:asciiTheme="minorHAnsi" w:hAnsiTheme="minorHAnsi"/>
                <w:sz w:val="18"/>
                <w:szCs w:val="18"/>
              </w:rPr>
              <w:t>viac ako 350 tis. EUR</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19</w:t>
            </w:r>
          </w:p>
          <w:p w:rsidR="00AE15C6" w:rsidRDefault="007C2CF9">
            <w:pPr>
              <w:jc w:val="center"/>
              <w:rPr>
                <w:rFonts w:asciiTheme="minorHAnsi" w:hAnsiTheme="minorHAnsi"/>
                <w:sz w:val="18"/>
                <w:szCs w:val="18"/>
              </w:rPr>
            </w:pPr>
            <w:r>
              <w:rPr>
                <w:rFonts w:asciiTheme="minorHAnsi" w:hAnsiTheme="minorHAnsi"/>
                <w:sz w:val="18"/>
                <w:szCs w:val="18"/>
              </w:rPr>
              <w:t>17</w:t>
            </w:r>
          </w:p>
          <w:p w:rsidR="00AE15C6" w:rsidRDefault="007C2CF9">
            <w:pPr>
              <w:jc w:val="center"/>
              <w:rPr>
                <w:rFonts w:asciiTheme="minorHAnsi" w:hAnsiTheme="minorHAnsi"/>
                <w:sz w:val="18"/>
                <w:szCs w:val="18"/>
              </w:rPr>
            </w:pPr>
            <w:r>
              <w:rPr>
                <w:rFonts w:asciiTheme="minorHAnsi" w:hAnsiTheme="minorHAnsi"/>
                <w:sz w:val="18"/>
                <w:szCs w:val="18"/>
              </w:rPr>
              <w:t>15</w:t>
            </w:r>
          </w:p>
          <w:p w:rsidR="00AE15C6" w:rsidRDefault="00AE15C6">
            <w:pPr>
              <w:jc w:val="center"/>
              <w:rPr>
                <w:rFonts w:asciiTheme="minorHAnsi" w:hAnsiTheme="minorHAnsi"/>
                <w:sz w:val="18"/>
                <w:szCs w:val="18"/>
              </w:rPr>
            </w:pP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rPr>
                <w:rFonts w:asciiTheme="minorHAnsi" w:hAnsiTheme="minorHAnsi"/>
                <w:sz w:val="18"/>
                <w:szCs w:val="18"/>
              </w:rPr>
            </w:pPr>
            <w:r>
              <w:rPr>
                <w:rFonts w:asciiTheme="minorHAnsi" w:hAnsiTheme="minorHAnsi"/>
                <w:sz w:val="18"/>
                <w:szCs w:val="18"/>
              </w:rPr>
              <w:t>Maximálny počet bodov je 19.</w:t>
            </w: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w:t>
            </w:r>
            <w:r>
              <w:rPr>
                <w:rFonts w:asciiTheme="minorHAnsi" w:hAnsiTheme="minorHAnsi"/>
                <w:sz w:val="18"/>
                <w:szCs w:val="18"/>
              </w:rPr>
              <w:lastRenderedPageBreak/>
              <w:t>ochranou životného prostredia a racionálneho využitia prírodných zdrojov alebo projekt obsahuje aj prvky zelenej infraštruktúry</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AE15C6">
            <w:pPr>
              <w:jc w:val="cente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8</w:t>
            </w:r>
          </w:p>
          <w:p w:rsidR="00AE15C6" w:rsidRDefault="00AE15C6">
            <w:pPr>
              <w:jc w:val="center"/>
              <w:rPr>
                <w:rFonts w:asciiTheme="minorHAnsi" w:hAnsiTheme="minorHAnsi"/>
                <w:sz w:val="18"/>
                <w:szCs w:val="18"/>
              </w:rPr>
            </w:pP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AE15C6">
            <w:pPr>
              <w:rPr>
                <w:rFonts w:asciiTheme="minorHAnsi" w:hAnsiTheme="minorHAnsi"/>
                <w:sz w:val="18"/>
                <w:szCs w:val="18"/>
              </w:rPr>
            </w:pP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6.</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Projekt rieši aj uľahčenie prístupu marginalizovaných skupín alebo obsahuje prvky zelenej infraštruktúry </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AE15C6">
            <w:pPr>
              <w:jc w:val="cente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5</w:t>
            </w:r>
          </w:p>
          <w:p w:rsidR="00AE15C6" w:rsidRDefault="00AE15C6">
            <w:pPr>
              <w:jc w:val="center"/>
              <w:rPr>
                <w:rFonts w:asciiTheme="minorHAnsi" w:hAnsiTheme="minorHAnsi"/>
                <w:sz w:val="18"/>
                <w:szCs w:val="18"/>
              </w:rPr>
            </w:pP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AE15C6">
            <w:pPr>
              <w:rPr>
                <w:rFonts w:asciiTheme="minorHAnsi" w:hAnsiTheme="minorHAnsi"/>
                <w:sz w:val="18"/>
                <w:szCs w:val="18"/>
              </w:rPr>
            </w:pP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7.</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Obec alebo  združenie  ešte nemá schválený žiadny projekt  v rámci podopatrení 7.2, 7.4 a 7.5 PRV SR 2014-2020 alebo v rámci súbežne vyhlásených výziev nepodalo viac žiadostí o NFP v rámci týchto opatrení.</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AE15C6">
            <w:pPr>
              <w:jc w:val="center"/>
              <w:rPr>
                <w:rFonts w:asciiTheme="minorHAnsi" w:hAnsiTheme="minorHAnsi"/>
                <w:sz w:val="18"/>
                <w:szCs w:val="18"/>
              </w:rPr>
            </w:pPr>
          </w:p>
          <w:p w:rsidR="00AE15C6" w:rsidRDefault="007C2CF9">
            <w:pPr>
              <w:jc w:val="center"/>
              <w:rPr>
                <w:rFonts w:asciiTheme="minorHAnsi" w:hAnsiTheme="minorHAnsi"/>
                <w:sz w:val="18"/>
                <w:szCs w:val="18"/>
              </w:rPr>
            </w:pPr>
            <w:r>
              <w:rPr>
                <w:rFonts w:asciiTheme="minorHAnsi" w:hAnsiTheme="minorHAnsi"/>
                <w:sz w:val="18"/>
                <w:szCs w:val="18"/>
              </w:rPr>
              <w:t>4</w:t>
            </w:r>
          </w:p>
          <w:p w:rsidR="00AE15C6" w:rsidRDefault="00AE15C6">
            <w:pPr>
              <w:jc w:val="center"/>
              <w:rPr>
                <w:rFonts w:asciiTheme="minorHAnsi" w:hAnsiTheme="minorHAnsi"/>
                <w:sz w:val="18"/>
                <w:szCs w:val="18"/>
              </w:rPr>
            </w:pP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Nevzťahuje sa na podopatrenie 7.3 a na výzvy v rámci CLLD.</w:t>
            </w:r>
          </w:p>
        </w:tc>
      </w:tr>
      <w:tr w:rsidR="00AE15C6">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8.</w:t>
            </w:r>
          </w:p>
        </w:tc>
        <w:tc>
          <w:tcPr>
            <w:tcW w:w="3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Hodnotenie kvality projektu – kvalitatívne hodnotenie</w:t>
            </w:r>
          </w:p>
          <w:p w:rsidR="00AE15C6" w:rsidRDefault="007C2CF9">
            <w:pPr>
              <w:pStyle w:val="Odsekzoznamu"/>
              <w:numPr>
                <w:ilvl w:val="1"/>
                <w:numId w:val="31"/>
              </w:numPr>
              <w:ind w:left="318" w:hanging="318"/>
              <w:rPr>
                <w:rFonts w:asciiTheme="minorHAnsi" w:hAnsiTheme="minorHAnsi"/>
                <w:sz w:val="18"/>
                <w:szCs w:val="18"/>
              </w:rPr>
            </w:pPr>
            <w:r>
              <w:rPr>
                <w:rFonts w:asciiTheme="minorHAnsi" w:hAnsiTheme="minorHAnsi"/>
                <w:sz w:val="18"/>
                <w:szCs w:val="18"/>
              </w:rPr>
              <w:t>vhodnosť, účelnosť a komplexnosť projektu</w:t>
            </w:r>
          </w:p>
          <w:p w:rsidR="00AE15C6" w:rsidRDefault="007C2CF9">
            <w:pPr>
              <w:pStyle w:val="Odsekzoznamu"/>
              <w:numPr>
                <w:ilvl w:val="1"/>
                <w:numId w:val="31"/>
              </w:numPr>
              <w:ind w:left="318" w:hanging="318"/>
              <w:rPr>
                <w:rFonts w:asciiTheme="minorHAnsi" w:hAnsiTheme="minorHAnsi"/>
                <w:sz w:val="18"/>
                <w:szCs w:val="18"/>
              </w:rPr>
            </w:pPr>
            <w:r>
              <w:rPr>
                <w:rFonts w:asciiTheme="minorHAnsi" w:hAnsiTheme="minorHAnsi"/>
                <w:sz w:val="18"/>
                <w:szCs w:val="18"/>
              </w:rPr>
              <w:t>spôsob realizácie projektu</w:t>
            </w:r>
          </w:p>
          <w:p w:rsidR="00AE15C6" w:rsidRDefault="007C2CF9">
            <w:pPr>
              <w:pStyle w:val="Odsekzoznamu"/>
              <w:numPr>
                <w:ilvl w:val="1"/>
                <w:numId w:val="31"/>
              </w:numPr>
              <w:ind w:left="318" w:hanging="318"/>
              <w:rPr>
                <w:rFonts w:asciiTheme="minorHAnsi" w:hAnsiTheme="minorHAnsi"/>
                <w:sz w:val="18"/>
                <w:szCs w:val="18"/>
              </w:rPr>
            </w:pPr>
            <w:r>
              <w:rPr>
                <w:rFonts w:asciiTheme="minorHAnsi" w:hAnsiTheme="minorHAnsi"/>
                <w:sz w:val="18"/>
                <w:szCs w:val="18"/>
              </w:rPr>
              <w:t>rozpočet a nákladová efektívnosť</w:t>
            </w:r>
          </w:p>
          <w:p w:rsidR="00AE15C6" w:rsidRDefault="007C2CF9">
            <w:pPr>
              <w:pStyle w:val="Odsekzoznamu"/>
              <w:numPr>
                <w:ilvl w:val="1"/>
                <w:numId w:val="31"/>
              </w:numPr>
              <w:ind w:left="318" w:hanging="318"/>
              <w:rPr>
                <w:rFonts w:asciiTheme="minorHAnsi" w:hAnsiTheme="minorHAnsi"/>
                <w:sz w:val="18"/>
                <w:szCs w:val="18"/>
              </w:rPr>
            </w:pPr>
            <w:r>
              <w:rPr>
                <w:rFonts w:asciiTheme="minorHAnsi" w:hAnsiTheme="minorHAnsi"/>
                <w:sz w:val="18"/>
                <w:szCs w:val="18"/>
              </w:rPr>
              <w:t>administratívna, odborná a technická kapacita</w:t>
            </w:r>
          </w:p>
          <w:p w:rsidR="00AE15C6" w:rsidRDefault="007C2CF9">
            <w:pPr>
              <w:pStyle w:val="Odsekzoznamu"/>
              <w:numPr>
                <w:ilvl w:val="1"/>
                <w:numId w:val="31"/>
              </w:numPr>
              <w:ind w:left="318" w:hanging="318"/>
              <w:rPr>
                <w:rFonts w:asciiTheme="minorHAnsi" w:hAnsiTheme="minorHAnsi"/>
                <w:sz w:val="18"/>
                <w:szCs w:val="18"/>
              </w:rPr>
            </w:pPr>
            <w:r>
              <w:rPr>
                <w:rFonts w:asciiTheme="minorHAnsi" w:hAnsiTheme="minorHAnsi"/>
                <w:sz w:val="18"/>
                <w:szCs w:val="18"/>
              </w:rPr>
              <w:t>udržateľnosť projektu</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max</w:t>
            </w:r>
          </w:p>
          <w:p w:rsidR="00AE15C6" w:rsidRDefault="007C2CF9">
            <w:pPr>
              <w:jc w:val="center"/>
              <w:rPr>
                <w:rFonts w:asciiTheme="minorHAnsi" w:hAnsiTheme="minorHAnsi"/>
                <w:sz w:val="18"/>
                <w:szCs w:val="18"/>
              </w:rPr>
            </w:pPr>
            <w:r>
              <w:rPr>
                <w:rFonts w:asciiTheme="minorHAnsi" w:hAnsiTheme="minorHAnsi"/>
                <w:sz w:val="18"/>
                <w:szCs w:val="18"/>
              </w:rPr>
              <w:t>40</w:t>
            </w:r>
          </w:p>
        </w:tc>
        <w:tc>
          <w:tcPr>
            <w:tcW w:w="3117" w:type="dxa"/>
            <w:tcBorders>
              <w:top w:val="single" w:sz="4" w:space="0" w:color="00000A"/>
              <w:left w:val="single" w:sz="4" w:space="0" w:color="00000A"/>
              <w:bottom w:val="single" w:sz="4" w:space="0" w:color="00000A"/>
              <w:right w:val="single" w:sz="4" w:space="0" w:color="00000A"/>
            </w:tcBorders>
            <w:shd w:val="clear" w:color="auto" w:fill="D6E3BC"/>
            <w:tcMar>
              <w:left w:w="108" w:type="dxa"/>
            </w:tcMar>
          </w:tcPr>
          <w:p w:rsidR="00AE15C6" w:rsidRDefault="007C2CF9">
            <w:pPr>
              <w:rPr>
                <w:rFonts w:asciiTheme="minorHAnsi" w:hAnsiTheme="minorHAnsi"/>
                <w:sz w:val="18"/>
                <w:szCs w:val="18"/>
              </w:rPr>
            </w:pPr>
            <w:r>
              <w:rPr>
                <w:rFonts w:asciiTheme="minorHAnsi" w:hAnsiTheme="minorHAnsi"/>
                <w:sz w:val="18"/>
                <w:szCs w:val="18"/>
              </w:rPr>
              <w:t>Spolu maximálne 40 bodov.</w:t>
            </w:r>
          </w:p>
        </w:tc>
      </w:tr>
    </w:tbl>
    <w:p w:rsidR="00AE15C6" w:rsidRDefault="00AE15C6">
      <w:pPr>
        <w:rPr>
          <w:rFonts w:asciiTheme="minorHAnsi" w:hAnsiTheme="minorHAnsi"/>
          <w:sz w:val="22"/>
        </w:rPr>
      </w:pPr>
    </w:p>
    <w:p w:rsidR="00AE15C6" w:rsidRDefault="007C2CF9">
      <w:pPr>
        <w:jc w:val="both"/>
        <w:rPr>
          <w:rFonts w:asciiTheme="minorHAnsi" w:hAnsiTheme="minorHAnsi"/>
        </w:rPr>
      </w:pPr>
      <w:r>
        <w:rPr>
          <w:rFonts w:asciiTheme="minorHAnsi" w:hAnsiTheme="minorHAnsi"/>
        </w:rPr>
        <w:t>Žiadateľ spolu so žiadosťou ako samostatnú prílohu predkladá Projekt realizácie,  ktorý obsahuje minimálne: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cieľ projektu,</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 xml:space="preserve">popis súčasného a požadovaného stavu, </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popis spôsobu realizácie,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prínosy realizácie projektu na žiadateľa a na okolie,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rozpočet s dôrazom na efektívnosť a hospodárnosť, spôsob výpočtu nákladov na obyvateľa, výpočet vidieckosti,</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 xml:space="preserve">popis administratívnej, odbornej, finančnej a technickej kapacity žiadateľa na realizáciu projektu, </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spôsob riešenia prístupu marginalizovaných skupín ak sa uplatňuje,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popis prepojenia na ekonomický rozvoj, zamestnanosť, životné prostredie a pod. ak sa uplatňuje,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popis využitia zelenej infraštruktúry ak sa uplatňuje,</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spôsob zabezpečenia udržateľnosti projektu.</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 xml:space="preserve">popis súladu investície </w:t>
      </w:r>
      <w:r>
        <w:rPr>
          <w:rFonts w:asciiTheme="minorHAnsi" w:hAnsiTheme="minorHAnsi"/>
          <w:lang w:eastAsia="sk-SK"/>
        </w:rPr>
        <w:t>s plánmi rozvoja obcí vo vidieckych oblastiach a ich základnými službami a s akoukoľvek príslušnou stratégiou miestneho rozvoja, s Miestnou Agendou 21, resp. s inými plánmi a rozvojovými dokumentami,</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rPr>
        <w:t xml:space="preserve">popis, ako </w:t>
      </w:r>
      <w:r>
        <w:rPr>
          <w:rFonts w:asciiTheme="minorHAnsi" w:hAnsiTheme="minorHAnsi"/>
          <w:lang w:eastAsia="sk-SK"/>
        </w:rPr>
        <w:t>investícia do miestnych komunikácii prispieva k oživeniu znevýhodnenej vidieckej oblasti, napr. ako konkrétny príspevok k podpore cestovného ruchu, k zlepšeniu ekonomického rozvoja  obce (len v aktivite 1)</w:t>
      </w:r>
    </w:p>
    <w:p w:rsidR="00AE15C6" w:rsidRDefault="007C2CF9">
      <w:pPr>
        <w:pStyle w:val="Odsekzoznamu"/>
        <w:numPr>
          <w:ilvl w:val="2"/>
          <w:numId w:val="16"/>
        </w:numPr>
        <w:suppressAutoHyphens w:val="0"/>
        <w:ind w:left="993" w:hanging="284"/>
        <w:contextualSpacing/>
        <w:jc w:val="both"/>
        <w:rPr>
          <w:rFonts w:asciiTheme="minorHAnsi" w:hAnsiTheme="minorHAnsi"/>
        </w:rPr>
      </w:pPr>
      <w:r>
        <w:rPr>
          <w:rFonts w:asciiTheme="minorHAnsi" w:hAnsiTheme="minorHAnsi"/>
          <w:bCs/>
        </w:rPr>
        <w:t xml:space="preserve">popis, ako bol vo verejnom obstarávaní uplatňovaný sociálny aspekt, resp. </w:t>
      </w:r>
      <w:r>
        <w:rPr>
          <w:rFonts w:asciiTheme="minorHAnsi" w:hAnsiTheme="minorHAnsi"/>
          <w:lang w:eastAsia="sk-SK"/>
        </w:rPr>
        <w:t>hľadisko týkajúce sa inklúzie marginalizovaných rómskych komunít</w:t>
      </w:r>
      <w:r>
        <w:rPr>
          <w:rFonts w:asciiTheme="minorHAnsi" w:hAnsiTheme="minorHAnsi"/>
          <w:bCs/>
        </w:rPr>
        <w:t xml:space="preserve">. </w:t>
      </w:r>
    </w:p>
    <w:p w:rsidR="00AE15C6" w:rsidRDefault="007C2CF9">
      <w:pPr>
        <w:rPr>
          <w:rFonts w:asciiTheme="minorHAnsi" w:hAnsiTheme="minorHAnsi"/>
          <w:sz w:val="22"/>
        </w:rPr>
      </w:pPr>
      <w:r>
        <w:rPr>
          <w:rFonts w:asciiTheme="minorHAnsi" w:hAnsiTheme="minorHAnsi"/>
          <w:bCs/>
        </w:rPr>
        <w:t xml:space="preserve"> </w:t>
      </w:r>
    </w:p>
    <w:p w:rsidR="00AE15C6" w:rsidRDefault="00AE15C6">
      <w:pPr>
        <w:rPr>
          <w:rFonts w:asciiTheme="minorHAnsi" w:hAnsiTheme="minorHAnsi"/>
          <w:sz w:val="22"/>
        </w:rPr>
      </w:pPr>
    </w:p>
    <w:tbl>
      <w:tblPr>
        <w:tblW w:w="8177"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1775"/>
        <w:gridCol w:w="4778"/>
        <w:gridCol w:w="1624"/>
      </w:tblGrid>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92D050"/>
            <w:tcMar>
              <w:left w:w="108" w:type="dxa"/>
            </w:tcMar>
            <w:vAlign w:val="center"/>
          </w:tcPr>
          <w:p w:rsidR="00AE15C6" w:rsidRDefault="007C2CF9">
            <w:pPr>
              <w:pStyle w:val="Odsekzoznamu"/>
              <w:ind w:left="0"/>
              <w:jc w:val="center"/>
              <w:rPr>
                <w:rFonts w:asciiTheme="minorHAnsi" w:hAnsiTheme="minorHAnsi"/>
                <w:b/>
                <w:bCs/>
              </w:rPr>
            </w:pPr>
            <w:r>
              <w:rPr>
                <w:rFonts w:asciiTheme="minorHAnsi" w:hAnsiTheme="minorHAnsi"/>
                <w:b/>
                <w:bCs/>
              </w:rPr>
              <w:t>8. Hodnotenie kvality projektu</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92D050"/>
            <w:tcMar>
              <w:left w:w="108" w:type="dxa"/>
            </w:tcMar>
            <w:vAlign w:val="center"/>
          </w:tcPr>
          <w:p w:rsidR="00AE15C6" w:rsidRDefault="007C2CF9">
            <w:pPr>
              <w:pStyle w:val="Odsekzoznamu"/>
              <w:ind w:left="0"/>
              <w:jc w:val="center"/>
              <w:rPr>
                <w:rFonts w:asciiTheme="minorHAnsi" w:hAnsiTheme="minorHAnsi"/>
                <w:b/>
                <w:bCs/>
                <w:sz w:val="22"/>
              </w:rPr>
            </w:pPr>
            <w:r>
              <w:rPr>
                <w:rFonts w:asciiTheme="minorHAnsi" w:hAnsiTheme="minorHAnsi"/>
                <w:b/>
                <w:bCs/>
                <w:sz w:val="22"/>
              </w:rPr>
              <w:t>8. A Vhodnosť, účelnosť a komplexnosť  projektu, reálnosť dosiahnutia cieľov projektu</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pStyle w:val="Odsekzoznamu"/>
              <w:ind w:left="0"/>
              <w:jc w:val="center"/>
              <w:rPr>
                <w:rFonts w:asciiTheme="minorHAnsi" w:hAnsiTheme="minorHAnsi"/>
                <w:b/>
                <w:bCs/>
                <w:sz w:val="18"/>
                <w:szCs w:val="18"/>
              </w:rPr>
            </w:pPr>
            <w:r>
              <w:rPr>
                <w:rFonts w:asciiTheme="minorHAnsi" w:hAnsiTheme="minorHAnsi"/>
                <w:b/>
                <w:bCs/>
                <w:sz w:val="18"/>
                <w:szCs w:val="18"/>
              </w:rPr>
              <w:t>8. A. 1 Zabezpečenie  komplexného prístupu, vhodnosti a účelnosti</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rPr>
                <w:rFonts w:asciiTheme="minorHAnsi" w:hAnsiTheme="minorHAnsi"/>
                <w:sz w:val="18"/>
                <w:szCs w:val="18"/>
              </w:rPr>
            </w:pPr>
            <w:r>
              <w:rPr>
                <w:rFonts w:asciiTheme="minorHAnsi" w:hAnsiTheme="minorHAnsi"/>
                <w:sz w:val="18"/>
                <w:szCs w:val="18"/>
              </w:rPr>
              <w:t xml:space="preserve">Cieľ je dostatočne identifikovaný. Účel je dodržaný.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Veľmi 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lastRenderedPageBreak/>
              <w:t>Vynikajúci</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547"/>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8.A.2  Definovanie cieľov projektu k podpore činností, ktoré sú v rámci danej obci nedostatočné a reálnosť ich dosiahnutia</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28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rPr>
                <w:rFonts w:asciiTheme="minorHAnsi" w:hAnsiTheme="minorHAnsi"/>
                <w:sz w:val="18"/>
                <w:szCs w:val="18"/>
              </w:rPr>
            </w:pPr>
            <w:r>
              <w:rPr>
                <w:rFonts w:asciiTheme="minorHAnsi" w:hAnsiTheme="minorHAnsi"/>
                <w:sz w:val="18"/>
                <w:szCs w:val="18"/>
              </w:rPr>
              <w:t>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rPr>
                <w:rFonts w:asciiTheme="minorHAnsi" w:hAnsiTheme="minorHAnsi"/>
                <w:b/>
                <w:bCs/>
                <w:sz w:val="18"/>
                <w:szCs w:val="18"/>
              </w:rPr>
            </w:pPr>
            <w:r>
              <w:rPr>
                <w:rFonts w:asciiTheme="minorHAnsi" w:hAnsiTheme="minorHAnsi"/>
                <w:sz w:val="18"/>
                <w:szCs w:val="18"/>
              </w:rPr>
              <w:t>Veľmi 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rPr>
                <w:rFonts w:asciiTheme="minorHAnsi" w:hAnsiTheme="minorHAnsi"/>
                <w:b/>
                <w:bCs/>
                <w:sz w:val="18"/>
                <w:szCs w:val="18"/>
              </w:rPr>
            </w:pPr>
            <w:r>
              <w:rPr>
                <w:rFonts w:asciiTheme="minorHAnsi" w:hAnsiTheme="minorHAnsi"/>
                <w:sz w:val="18"/>
                <w:szCs w:val="18"/>
              </w:rPr>
              <w:t>Vynikajúce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pStyle w:val="Odsekzoznamu"/>
              <w:ind w:left="0"/>
              <w:jc w:val="center"/>
              <w:rPr>
                <w:rFonts w:asciiTheme="minorHAnsi" w:hAnsiTheme="minorHAnsi"/>
                <w:b/>
                <w:bCs/>
                <w:sz w:val="22"/>
              </w:rPr>
            </w:pPr>
            <w:r>
              <w:rPr>
                <w:rFonts w:asciiTheme="minorHAnsi" w:hAnsiTheme="minorHAnsi"/>
                <w:b/>
                <w:bCs/>
                <w:sz w:val="22"/>
              </w:rPr>
              <w:t>8.B Spôsob realizácie projektu, uskutočniteľnosť a harmonogram</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Veľmi 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Vynikajúci</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92D050"/>
            <w:tcMar>
              <w:left w:w="108" w:type="dxa"/>
            </w:tcMar>
            <w:vAlign w:val="center"/>
          </w:tcPr>
          <w:p w:rsidR="00AE15C6" w:rsidRDefault="007C2CF9">
            <w:pPr>
              <w:pStyle w:val="Odsekzoznamu"/>
              <w:ind w:left="0"/>
              <w:jc w:val="center"/>
              <w:rPr>
                <w:rFonts w:asciiTheme="minorHAnsi" w:hAnsiTheme="minorHAnsi"/>
                <w:b/>
                <w:bCs/>
                <w:sz w:val="22"/>
              </w:rPr>
            </w:pPr>
            <w:r>
              <w:rPr>
                <w:rFonts w:asciiTheme="minorHAnsi" w:hAnsiTheme="minorHAnsi"/>
                <w:b/>
                <w:bCs/>
                <w:sz w:val="22"/>
              </w:rPr>
              <w:t>8.C Rozpočet a nákladová efektívnosť, realizovateľnosť projektu z finančného hľadiska</w:t>
            </w:r>
          </w:p>
        </w:tc>
      </w:tr>
      <w:tr w:rsidR="00AE15C6">
        <w:trPr>
          <w:cantSplit/>
          <w:trHeight w:val="22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Veľmi 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lastRenderedPageBreak/>
              <w:t>Vynikajúce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92D050"/>
            <w:tcMar>
              <w:left w:w="108" w:type="dxa"/>
            </w:tcMar>
            <w:vAlign w:val="center"/>
          </w:tcPr>
          <w:p w:rsidR="00AE15C6" w:rsidRDefault="007C2CF9">
            <w:pPr>
              <w:pStyle w:val="Odsekzoznamu"/>
              <w:spacing w:line="360" w:lineRule="auto"/>
              <w:ind w:left="0"/>
              <w:jc w:val="center"/>
              <w:rPr>
                <w:rFonts w:asciiTheme="minorHAnsi" w:hAnsiTheme="minorHAnsi"/>
                <w:b/>
                <w:bCs/>
                <w:sz w:val="22"/>
              </w:rPr>
            </w:pPr>
            <w:r>
              <w:rPr>
                <w:rFonts w:asciiTheme="minorHAnsi" w:hAnsiTheme="minorHAnsi"/>
                <w:b/>
                <w:bCs/>
                <w:sz w:val="22"/>
              </w:rPr>
              <w:t>8.D Administratívna, odborná a technická kapacita žiadateľa</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pStyle w:val="Odsekzoznamu"/>
              <w:spacing w:line="276" w:lineRule="auto"/>
              <w:ind w:left="0"/>
              <w:jc w:val="center"/>
              <w:rPr>
                <w:rFonts w:asciiTheme="minorHAnsi" w:hAnsiTheme="minorHAnsi"/>
                <w:sz w:val="18"/>
                <w:szCs w:val="18"/>
              </w:rPr>
            </w:pPr>
            <w:r>
              <w:rPr>
                <w:rFonts w:asciiTheme="minorHAnsi" w:hAnsiTheme="minorHAnsi"/>
                <w:b/>
                <w:bCs/>
                <w:sz w:val="18"/>
                <w:szCs w:val="18"/>
              </w:rPr>
              <w:t>8.D.1  Preukázateľnosť dostatočných odborných skúsenosti žiadateľa</w:t>
            </w:r>
          </w:p>
        </w:tc>
      </w:tr>
      <w:tr w:rsidR="00AE15C6">
        <w:trPr>
          <w:cantSplit/>
          <w:trHeight w:val="22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Dobrá</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Veľmi dobra</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14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Vynikajúca</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144"/>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pStyle w:val="Odsekzoznamu"/>
              <w:spacing w:line="360" w:lineRule="auto"/>
              <w:ind w:left="0"/>
              <w:jc w:val="center"/>
              <w:rPr>
                <w:rFonts w:asciiTheme="minorHAnsi" w:hAnsiTheme="minorHAnsi"/>
                <w:b/>
                <w:bCs/>
                <w:sz w:val="18"/>
                <w:szCs w:val="18"/>
              </w:rPr>
            </w:pPr>
            <w:r>
              <w:rPr>
                <w:rFonts w:asciiTheme="minorHAnsi" w:hAnsiTheme="minorHAnsi"/>
                <w:b/>
                <w:sz w:val="18"/>
                <w:szCs w:val="18"/>
              </w:rPr>
              <w:t>8.D.2  Zabezpečenie administratívnych kapacít</w:t>
            </w:r>
          </w:p>
        </w:tc>
      </w:tr>
      <w:tr w:rsidR="00AE15C6">
        <w:trPr>
          <w:cantSplit/>
          <w:trHeight w:val="283"/>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Veľmi dobré</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Vynikajúce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207"/>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92D050"/>
            <w:tcMar>
              <w:left w:w="108" w:type="dxa"/>
            </w:tcMar>
            <w:vAlign w:val="center"/>
          </w:tcPr>
          <w:p w:rsidR="00AE15C6" w:rsidRDefault="007C2CF9">
            <w:pPr>
              <w:pStyle w:val="Odsekzoznamu"/>
              <w:ind w:left="0"/>
              <w:jc w:val="center"/>
              <w:rPr>
                <w:rFonts w:asciiTheme="minorHAnsi" w:hAnsiTheme="minorHAnsi"/>
                <w:b/>
                <w:bCs/>
                <w:sz w:val="22"/>
              </w:rPr>
            </w:pPr>
            <w:r>
              <w:rPr>
                <w:rFonts w:asciiTheme="minorHAnsi" w:hAnsiTheme="minorHAnsi"/>
                <w:b/>
                <w:bCs/>
                <w:sz w:val="22"/>
              </w:rPr>
              <w:t>8.E Udržateľnosť projektu</w:t>
            </w:r>
          </w:p>
        </w:tc>
      </w:tr>
      <w:tr w:rsidR="00AE15C6">
        <w:trPr>
          <w:trHeight w:val="196"/>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pStyle w:val="Odsekzoznamu"/>
              <w:spacing w:line="360" w:lineRule="auto"/>
              <w:rPr>
                <w:rFonts w:asciiTheme="minorHAnsi" w:hAnsiTheme="minorHAnsi"/>
                <w:b/>
                <w:bCs/>
                <w:sz w:val="18"/>
                <w:szCs w:val="18"/>
              </w:rPr>
            </w:pPr>
            <w:r>
              <w:rPr>
                <w:rFonts w:asciiTheme="minorHAnsi" w:hAnsiTheme="minorHAnsi"/>
                <w:b/>
                <w:sz w:val="18"/>
                <w:szCs w:val="18"/>
              </w:rPr>
              <w:t>8.E.1  Finančná, technologická a technická  udržateľnosť výsledkov projektu</w:t>
            </w:r>
          </w:p>
        </w:tc>
      </w:tr>
      <w:tr w:rsidR="00AE15C6">
        <w:trPr>
          <w:cantSplit/>
          <w:trHeight w:val="22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90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Dobrá</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1361"/>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Veľmi dobrá</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1134"/>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sz w:val="18"/>
                <w:szCs w:val="18"/>
              </w:rPr>
              <w:t>Vynikajúca</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r w:rsidR="00AE15C6">
        <w:trPr>
          <w:trHeight w:val="207"/>
          <w:jc w:val="center"/>
        </w:trPr>
        <w:tc>
          <w:tcPr>
            <w:tcW w:w="8177" w:type="dxa"/>
            <w:gridSpan w:val="3"/>
            <w:tcBorders>
              <w:top w:val="single" w:sz="4" w:space="0" w:color="00000A"/>
              <w:left w:val="single" w:sz="4" w:space="0" w:color="00000A"/>
              <w:bottom w:val="single" w:sz="4" w:space="0" w:color="00000A"/>
              <w:right w:val="single" w:sz="4" w:space="0" w:color="00000A"/>
            </w:tcBorders>
            <w:shd w:val="clear" w:color="auto" w:fill="C2D69B"/>
            <w:tcMar>
              <w:left w:w="108" w:type="dxa"/>
            </w:tcMar>
            <w:vAlign w:val="center"/>
          </w:tcPr>
          <w:p w:rsidR="00AE15C6" w:rsidRDefault="007C2CF9">
            <w:pPr>
              <w:pStyle w:val="Odsekzoznamu"/>
              <w:spacing w:line="360" w:lineRule="auto"/>
              <w:ind w:left="0"/>
              <w:jc w:val="center"/>
              <w:rPr>
                <w:rFonts w:asciiTheme="minorHAnsi" w:hAnsiTheme="minorHAnsi"/>
                <w:b/>
                <w:bCs/>
                <w:sz w:val="18"/>
                <w:szCs w:val="18"/>
              </w:rPr>
            </w:pPr>
            <w:r>
              <w:rPr>
                <w:rFonts w:asciiTheme="minorHAnsi" w:hAnsiTheme="minorHAnsi"/>
                <w:b/>
                <w:sz w:val="18"/>
                <w:szCs w:val="18"/>
              </w:rPr>
              <w:lastRenderedPageBreak/>
              <w:t>8.E.2  Multiplikačný efekt výsledkov projektu</w:t>
            </w:r>
          </w:p>
        </w:tc>
      </w:tr>
      <w:tr w:rsidR="00AE15C6">
        <w:trPr>
          <w:cantSplit/>
          <w:trHeight w:val="227"/>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b/>
                <w:bCs/>
                <w:sz w:val="18"/>
                <w:szCs w:val="18"/>
              </w:rPr>
            </w:pPr>
            <w:r>
              <w:rPr>
                <w:rFonts w:asciiTheme="minorHAnsi" w:hAnsiTheme="minorHAnsi"/>
                <w:b/>
                <w:bCs/>
                <w:sz w:val="18"/>
                <w:szCs w:val="18"/>
              </w:rPr>
              <w:t>Body</w:t>
            </w:r>
          </w:p>
        </w:tc>
      </w:tr>
      <w:tr w:rsidR="00AE15C6">
        <w:trPr>
          <w:cantSplit/>
          <w:trHeight w:val="312"/>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 xml:space="preserve">Projekt realizácie čiastočne podnecuje a popisuje realizáciu ďalších činností  súvisiacich s projektom. </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1</w:t>
            </w:r>
          </w:p>
        </w:tc>
      </w:tr>
      <w:tr w:rsidR="00AE15C6">
        <w:trPr>
          <w:cantSplit/>
          <w:trHeight w:val="680"/>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Veľmi dobrý</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rFonts w:asciiTheme="minorHAnsi" w:hAnsiTheme="minorHAnsi"/>
                <w:sz w:val="18"/>
                <w:szCs w:val="18"/>
              </w:rPr>
              <w:t>Projekt realizácie podnecuje a popisuje realizáciu ďalších činností súvisiacich s projektom, formy spolupráce alebo šírenie dobrej praxe a ďalších nadväzujúcich aktivít.</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3</w:t>
            </w:r>
          </w:p>
        </w:tc>
      </w:tr>
      <w:tr w:rsidR="00AE15C6">
        <w:trPr>
          <w:cantSplit/>
          <w:trHeight w:val="680"/>
          <w:jc w:val="center"/>
        </w:trPr>
        <w:tc>
          <w:tcPr>
            <w:tcW w:w="1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Vynikajúci</w:t>
            </w:r>
          </w:p>
        </w:tc>
        <w:tc>
          <w:tcPr>
            <w:tcW w:w="477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AE15C6" w:rsidRDefault="007C2CF9">
            <w:pPr>
              <w:jc w:val="both"/>
              <w:rPr>
                <w:rFonts w:asciiTheme="minorHAnsi" w:hAnsiTheme="minorHAnsi"/>
                <w:sz w:val="18"/>
                <w:szCs w:val="18"/>
              </w:rPr>
            </w:pPr>
            <w:r>
              <w:rPr>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16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AE15C6" w:rsidRDefault="007C2CF9">
            <w:pPr>
              <w:jc w:val="center"/>
              <w:rPr>
                <w:rFonts w:asciiTheme="minorHAnsi" w:hAnsiTheme="minorHAnsi"/>
                <w:sz w:val="18"/>
                <w:szCs w:val="18"/>
              </w:rPr>
            </w:pPr>
            <w:r>
              <w:rPr>
                <w:rFonts w:asciiTheme="minorHAnsi" w:hAnsiTheme="minorHAnsi"/>
                <w:sz w:val="18"/>
                <w:szCs w:val="18"/>
              </w:rPr>
              <w:t>5</w:t>
            </w:r>
          </w:p>
        </w:tc>
      </w:tr>
    </w:tbl>
    <w:p w:rsidR="00AE15C6" w:rsidRDefault="00AE15C6">
      <w:pPr>
        <w:jc w:val="both"/>
        <w:rPr>
          <w:rFonts w:asciiTheme="minorHAnsi" w:hAnsiTheme="minorHAnsi"/>
        </w:rPr>
      </w:pPr>
    </w:p>
    <w:p w:rsidR="00AE15C6" w:rsidRDefault="007C2CF9">
      <w:pPr>
        <w:numPr>
          <w:ilvl w:val="4"/>
          <w:numId w:val="5"/>
        </w:numPr>
        <w:ind w:hanging="1854"/>
        <w:jc w:val="both"/>
        <w:rPr>
          <w:rFonts w:asciiTheme="minorHAnsi" w:hAnsiTheme="minorHAnsi"/>
          <w:b/>
        </w:rPr>
      </w:pPr>
      <w:r>
        <w:rPr>
          <w:rFonts w:asciiTheme="minorHAnsi" w:hAnsiTheme="minorHAnsi"/>
          <w:b/>
        </w:rPr>
        <w:t>Vysvetlenie k uplatneniu bodovacích kritérií č. 4:</w:t>
      </w:r>
    </w:p>
    <w:p w:rsidR="00AE15C6" w:rsidRDefault="00AE15C6">
      <w:pPr>
        <w:ind w:left="426"/>
        <w:jc w:val="both"/>
        <w:rPr>
          <w:rFonts w:asciiTheme="minorHAnsi" w:hAnsiTheme="minorHAnsi"/>
        </w:rPr>
      </w:pPr>
    </w:p>
    <w:p w:rsidR="00AE15C6" w:rsidRDefault="007C2CF9">
      <w:pPr>
        <w:pStyle w:val="Odsekzoznamu"/>
        <w:numPr>
          <w:ilvl w:val="0"/>
          <w:numId w:val="27"/>
        </w:numPr>
        <w:ind w:left="993" w:hanging="284"/>
        <w:jc w:val="both"/>
        <w:rPr>
          <w:rFonts w:asciiTheme="minorHAnsi" w:hAnsiTheme="minorHAnsi"/>
        </w:rPr>
      </w:pPr>
      <w:r>
        <w:rPr>
          <w:rFonts w:asciiTheme="minorHAnsi" w:hAnsiTheme="minorHAnsi"/>
        </w:rPr>
        <w:t>Ku kritériu č. 4: V prípade, že pre túto výzvu a danú aktivitu je maximálna výška oprávnených výdavkov na jeden projekt (stanovená v bode 1.4) nižšia, ako limity uvedené v tomto kritériu, žiadateľ si uplatní plný počet bodov.</w:t>
      </w:r>
    </w:p>
    <w:p w:rsidR="00AE15C6" w:rsidRDefault="00AE15C6">
      <w:pPr>
        <w:pStyle w:val="Odsekzoznamu"/>
        <w:ind w:left="993"/>
        <w:jc w:val="both"/>
        <w:rPr>
          <w:rFonts w:asciiTheme="minorHAnsi" w:hAnsiTheme="minorHAnsi"/>
        </w:rPr>
      </w:pPr>
    </w:p>
    <w:p w:rsidR="00AE15C6" w:rsidRDefault="00AE15C6">
      <w:pPr>
        <w:jc w:val="both"/>
        <w:rPr>
          <w:rFonts w:asciiTheme="minorHAnsi" w:hAnsiTheme="minorHAnsi"/>
        </w:rPr>
      </w:pPr>
    </w:p>
    <w:p w:rsidR="00AE15C6" w:rsidRDefault="007C2CF9">
      <w:pPr>
        <w:numPr>
          <w:ilvl w:val="4"/>
          <w:numId w:val="5"/>
        </w:numPr>
        <w:ind w:hanging="1854"/>
        <w:jc w:val="both"/>
        <w:rPr>
          <w:rFonts w:asciiTheme="minorHAnsi" w:hAnsiTheme="minorHAnsi"/>
        </w:rPr>
      </w:pPr>
      <w:r>
        <w:rPr>
          <w:rFonts w:asciiTheme="minorHAnsi" w:hAnsiTheme="minorHAnsi"/>
          <w:b/>
        </w:rPr>
        <w:t xml:space="preserve">Princípy uplatnenia výberu: </w:t>
      </w:r>
    </w:p>
    <w:p w:rsidR="00AE15C6" w:rsidRDefault="00AE15C6">
      <w:pPr>
        <w:ind w:left="2280" w:hanging="1571"/>
        <w:jc w:val="both"/>
        <w:rPr>
          <w:rFonts w:asciiTheme="minorHAnsi" w:hAnsiTheme="minorHAnsi"/>
          <w:b/>
        </w:rPr>
      </w:pPr>
    </w:p>
    <w:p w:rsidR="00AE15C6" w:rsidRDefault="007C2CF9">
      <w:pPr>
        <w:numPr>
          <w:ilvl w:val="5"/>
          <w:numId w:val="4"/>
        </w:numPr>
        <w:ind w:left="993" w:hanging="284"/>
        <w:jc w:val="both"/>
        <w:rPr>
          <w:rFonts w:asciiTheme="minorHAnsi" w:hAnsiTheme="minorHAnsi"/>
        </w:rPr>
      </w:pPr>
      <w:r>
        <w:rPr>
          <w:rFonts w:asciiTheme="minorHAnsi" w:hAnsiTheme="minorHAnsi"/>
          <w:lang w:eastAsia="sk-SK"/>
        </w:rPr>
        <w:t>Projekty bude vyberať PPA na základe uplatnenia hodnotiacich kritérií (bodovacieho systému), t.j. projekty sa zoradia podľa jednotlivých aktivít (viď bod 1.3 výzvy)  podľa počtu dosiahnutých bodov v zmysle hodnotiacich kritérií a vytvorí sa hranica finančných možností (posúdi sa súčet finančných požiadaviek všetkých zoradených projektov podľa jednotlivých aktivít s finančnou alokáciou).</w:t>
      </w:r>
    </w:p>
    <w:p w:rsidR="00AE15C6" w:rsidRDefault="00AE15C6">
      <w:pPr>
        <w:ind w:left="993"/>
        <w:jc w:val="both"/>
        <w:rPr>
          <w:rFonts w:asciiTheme="minorHAnsi" w:hAnsiTheme="minorHAnsi"/>
        </w:rPr>
      </w:pPr>
    </w:p>
    <w:p w:rsidR="00AE15C6" w:rsidRDefault="007C2CF9">
      <w:pPr>
        <w:numPr>
          <w:ilvl w:val="5"/>
          <w:numId w:val="4"/>
        </w:numPr>
        <w:ind w:left="993" w:hanging="284"/>
        <w:jc w:val="both"/>
        <w:rPr>
          <w:rFonts w:asciiTheme="minorHAnsi" w:hAnsiTheme="minorHAnsi"/>
        </w:rPr>
      </w:pPr>
      <w:r>
        <w:rPr>
          <w:rFonts w:asciiTheme="minorHAnsi" w:hAnsiTheme="minorHAnsi"/>
          <w:lang w:eastAsia="sk-SK"/>
        </w:rPr>
        <w:t>Minimálna hranica požadovaných bodov z dôvodu aby sa zamedzilo schváleniu vyslovene zlých projektov je 60.</w:t>
      </w:r>
    </w:p>
    <w:p w:rsidR="00AE15C6" w:rsidRDefault="007C2CF9">
      <w:pPr>
        <w:numPr>
          <w:ilvl w:val="5"/>
          <w:numId w:val="4"/>
        </w:numPr>
        <w:ind w:left="993" w:hanging="284"/>
        <w:jc w:val="both"/>
        <w:rPr>
          <w:rFonts w:asciiTheme="minorHAnsi" w:hAnsiTheme="minorHAnsi"/>
        </w:rPr>
      </w:pPr>
      <w:r>
        <w:rPr>
          <w:rFonts w:asciiTheme="minorHAnsi" w:hAnsiTheme="minorHAnsi"/>
        </w:rPr>
        <w:t>V prípade, že požiadavka na finančné prostriedky prevýši finančný limit na kontrahovanie, budú pri výbere ŽoNFP v prípade rovnakého počtu bodov uprednostnené nasledovné kritériá podľa poradia:</w:t>
      </w:r>
    </w:p>
    <w:p w:rsidR="00AE15C6" w:rsidRDefault="00AE15C6">
      <w:pPr>
        <w:ind w:firstLine="993"/>
        <w:jc w:val="both"/>
        <w:rPr>
          <w:rFonts w:asciiTheme="minorHAnsi" w:hAnsiTheme="minorHAnsi"/>
        </w:rPr>
      </w:pP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2</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1</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3</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7</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5</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6</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4</w:t>
      </w:r>
    </w:p>
    <w:p w:rsidR="00AE15C6" w:rsidRDefault="007C2CF9">
      <w:pPr>
        <w:pStyle w:val="Odsekzoznamu"/>
        <w:numPr>
          <w:ilvl w:val="0"/>
          <w:numId w:val="32"/>
        </w:numPr>
        <w:jc w:val="both"/>
        <w:rPr>
          <w:rFonts w:asciiTheme="minorHAnsi" w:hAnsiTheme="minorHAnsi"/>
        </w:rPr>
      </w:pPr>
      <w:r>
        <w:rPr>
          <w:rFonts w:asciiTheme="minorHAnsi" w:hAnsiTheme="minorHAnsi"/>
        </w:rPr>
        <w:t>Väčší počet bodov za bodovacie kritérium č. 8</w:t>
      </w:r>
    </w:p>
    <w:p w:rsidR="00AE15C6" w:rsidRDefault="00AE15C6">
      <w:pPr>
        <w:ind w:firstLine="993"/>
        <w:jc w:val="both"/>
        <w:rPr>
          <w:rFonts w:asciiTheme="minorHAnsi" w:hAnsiTheme="minorHAnsi"/>
        </w:rPr>
      </w:pPr>
    </w:p>
    <w:p w:rsidR="00AE15C6" w:rsidRDefault="00AE15C6">
      <w:pPr>
        <w:ind w:firstLine="993"/>
        <w:jc w:val="both"/>
        <w:rPr>
          <w:rFonts w:asciiTheme="minorHAnsi" w:hAnsiTheme="minorHAnsi"/>
        </w:rPr>
      </w:pPr>
    </w:p>
    <w:p w:rsidR="00AE15C6" w:rsidRDefault="007C2CF9">
      <w:pPr>
        <w:ind w:left="993"/>
        <w:jc w:val="both"/>
        <w:rPr>
          <w:rFonts w:asciiTheme="minorHAnsi" w:hAnsiTheme="minorHAnsi"/>
        </w:rPr>
      </w:pPr>
      <w:r>
        <w:rPr>
          <w:rFonts w:asciiTheme="minorHAnsi" w:hAnsiTheme="minorHAnsi"/>
        </w:rPr>
        <w:t>Ak by sa ani pri takomto postupnom uplatnení kritérií nevedelo určiť konečné poradie pri rovnosti bodov,  PPA uplatní princíp nižších oprávnených výdavkov v rámci projektu.</w:t>
      </w:r>
    </w:p>
    <w:p w:rsidR="00AE15C6" w:rsidRDefault="00AE15C6">
      <w:pPr>
        <w:ind w:left="993"/>
        <w:jc w:val="both"/>
        <w:rPr>
          <w:rFonts w:asciiTheme="minorHAnsi" w:hAnsiTheme="minorHAnsi"/>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Spôsob financovania </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2"/>
          <w:numId w:val="12"/>
        </w:numPr>
        <w:tabs>
          <w:tab w:val="left" w:pos="289"/>
        </w:tabs>
        <w:spacing w:line="280" w:lineRule="exact"/>
        <w:jc w:val="both"/>
        <w:rPr>
          <w:rFonts w:asciiTheme="minorHAnsi" w:hAnsiTheme="minorHAnsi"/>
          <w:b/>
        </w:rPr>
      </w:pPr>
      <w:r>
        <w:rPr>
          <w:rFonts w:asciiTheme="minorHAnsi" w:hAnsiTheme="minorHAnsi"/>
        </w:rPr>
        <w:lastRenderedPageBreak/>
        <w:t xml:space="preserve">Výška </w:t>
      </w:r>
      <w:r>
        <w:rPr>
          <w:rFonts w:asciiTheme="minorHAnsi" w:hAnsiTheme="minorHAnsi"/>
          <w:bCs/>
          <w:lang w:eastAsia="sk-SK"/>
        </w:rPr>
        <w:t xml:space="preserve">podpory: 100% z celkových oprávnených výdavkov v súlade </w:t>
      </w:r>
      <w:r>
        <w:rPr>
          <w:rFonts w:asciiTheme="minorHAnsi" w:hAnsiTheme="minorHAnsi"/>
          <w:lang w:eastAsia="sk-SK"/>
        </w:rPr>
        <w:t xml:space="preserve">s maximálnym limitom určeným v tejto výzve. </w:t>
      </w:r>
    </w:p>
    <w:p w:rsidR="00AE15C6" w:rsidRDefault="00AE15C6">
      <w:pPr>
        <w:tabs>
          <w:tab w:val="left" w:pos="289"/>
        </w:tabs>
        <w:spacing w:line="280" w:lineRule="exact"/>
        <w:ind w:left="567"/>
        <w:jc w:val="both"/>
        <w:rPr>
          <w:rFonts w:asciiTheme="minorHAnsi" w:hAnsiTheme="minorHAnsi"/>
          <w:bCs/>
          <w:lang w:eastAsia="sk-SK"/>
        </w:rPr>
      </w:pPr>
    </w:p>
    <w:p w:rsidR="00AE15C6" w:rsidRDefault="007C2CF9">
      <w:pPr>
        <w:pStyle w:val="Odsekzoznamu"/>
        <w:numPr>
          <w:ilvl w:val="2"/>
          <w:numId w:val="12"/>
        </w:numPr>
        <w:tabs>
          <w:tab w:val="left" w:pos="289"/>
        </w:tabs>
        <w:spacing w:line="280" w:lineRule="exact"/>
        <w:jc w:val="both"/>
        <w:rPr>
          <w:rFonts w:asciiTheme="minorHAnsi" w:hAnsiTheme="minorHAnsi"/>
        </w:rPr>
      </w:pPr>
      <w:r>
        <w:rPr>
          <w:rFonts w:asciiTheme="minorHAnsi" w:hAnsiTheme="minorHAnsi"/>
          <w:bCs/>
          <w:lang w:eastAsia="sk-SK"/>
        </w:rPr>
        <w:t xml:space="preserve">Druh podpory: Grant </w:t>
      </w:r>
      <w:r>
        <w:rPr>
          <w:rFonts w:asciiTheme="minorHAnsi" w:hAnsiTheme="minorHAnsi"/>
          <w:lang w:eastAsia="sk-SK"/>
        </w:rPr>
        <w:t>(nenávratný finančný príspevok)</w:t>
      </w:r>
      <w:r>
        <w:rPr>
          <w:rFonts w:asciiTheme="minorHAnsi" w:hAnsiTheme="minorHAnsi"/>
          <w:bCs/>
          <w:lang w:eastAsia="sk-SK"/>
        </w:rPr>
        <w:t>, možnosť poskytnutia zálohovej platby do výšky max. 50% oprávnených výdavkov</w:t>
      </w:r>
      <w:r>
        <w:rPr>
          <w:rFonts w:asciiTheme="minorHAnsi" w:hAnsiTheme="minorHAnsi"/>
        </w:rPr>
        <w:t xml:space="preserve">. </w:t>
      </w:r>
    </w:p>
    <w:p w:rsidR="00AE15C6" w:rsidRDefault="00AE15C6">
      <w:pPr>
        <w:ind w:left="851"/>
        <w:jc w:val="both"/>
        <w:rPr>
          <w:rFonts w:asciiTheme="minorHAnsi" w:hAnsiTheme="minorHAnsi"/>
          <w:bCs/>
          <w:lang w:eastAsia="sk-SK"/>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Splnenie podmienok ustanovených v osobitných predpisoch  </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2"/>
          <w:numId w:val="13"/>
        </w:numPr>
        <w:tabs>
          <w:tab w:val="left" w:pos="289"/>
        </w:tabs>
        <w:spacing w:line="280" w:lineRule="exact"/>
        <w:jc w:val="both"/>
        <w:rPr>
          <w:rFonts w:asciiTheme="minorHAnsi" w:hAnsiTheme="minorHAnsi"/>
          <w:b/>
        </w:rPr>
      </w:pPr>
      <w:r>
        <w:rPr>
          <w:rFonts w:asciiTheme="minorHAnsi" w:hAnsiTheme="minorHAnsi"/>
        </w:rPr>
        <w:t>Žiadateľ je povinný pri obstarávaní tovarov, stavebných prác a služieb postupovať v súlade so zákonom č. 343/2015 Z.z. z 18. novembra 2015 o verejnom obstarávaní a o zmene a doplnení niektorých zákonov účinným od 18.04.2016 alebo v súlade so zákonom č. 25/2006 Z. z. o verejnom obstarávaní  a o zmene a doplnení niektorých zákonov účinným do 17.04.2016 a v súlade s ustanoveniami uvedenými v Príručke, v kapitole 3. Usmernenie postupu žiadateľov pri obstarávaní tovarov, stavebných prác a služieb</w:t>
      </w:r>
    </w:p>
    <w:p w:rsidR="00AE15C6" w:rsidRDefault="00AE15C6">
      <w:pPr>
        <w:pStyle w:val="Odsekzoznamu"/>
        <w:tabs>
          <w:tab w:val="left" w:pos="289"/>
        </w:tabs>
        <w:spacing w:line="280" w:lineRule="exact"/>
        <w:ind w:left="1020"/>
        <w:jc w:val="both"/>
        <w:rPr>
          <w:rFonts w:asciiTheme="minorHAnsi" w:hAnsiTheme="minorHAnsi"/>
          <w:b/>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 xml:space="preserve">Žiadateľ je povinný pri obstarávaní tovarov, stavebných prác a služieb postupovať v súlade s „Metodickým pokynom pri zadávaní zákaziek na dodanie tovaru, uskutočnenie stavebných prác a na poskytnutie služieb pri uplatňovaní </w:t>
      </w:r>
      <w:r>
        <w:rPr>
          <w:rFonts w:asciiTheme="minorHAnsi" w:hAnsiTheme="minorHAnsi"/>
          <w:b/>
        </w:rPr>
        <w:t>sociálneho aspektu</w:t>
      </w:r>
      <w:r>
        <w:rPr>
          <w:rFonts w:asciiTheme="minorHAnsi" w:hAnsiTheme="minorHAnsi"/>
        </w:rPr>
        <w:t xml:space="preserve"> pri verejnom obstarávaní pre Program rozvoja vidieka Slovenskej republiky 2014 – 2020, ktorý tvorí prílohu č. 5 tejto výzvy.  Uvedené neplatí pre všeobecné výdavky na prípravné práce, </w:t>
      </w:r>
      <w:r>
        <w:rPr>
          <w:rFonts w:asciiTheme="minorHAnsi" w:hAnsiTheme="minorHAnsi"/>
          <w:lang w:eastAsia="sk-SK"/>
        </w:rPr>
        <w:t>uvedené v bode 2.3.1 odsek 2.</w:t>
      </w:r>
    </w:p>
    <w:p w:rsidR="00AE15C6" w:rsidRDefault="007C2CF9">
      <w:pPr>
        <w:pStyle w:val="Odsekzoznamu"/>
        <w:tabs>
          <w:tab w:val="left" w:pos="289"/>
        </w:tabs>
        <w:spacing w:line="280" w:lineRule="exact"/>
        <w:ind w:left="1020"/>
        <w:jc w:val="both"/>
        <w:rPr>
          <w:rFonts w:asciiTheme="minorHAnsi" w:hAnsiTheme="minorHAnsi"/>
        </w:rPr>
      </w:pPr>
      <w:r>
        <w:rPr>
          <w:rFonts w:asciiTheme="minorHAnsi" w:hAnsiTheme="minorHAnsi"/>
          <w:lang w:eastAsia="sk-SK"/>
        </w:rPr>
        <w:t xml:space="preserve">Naviac v  rámci postupu podľa tohto metodického pokynu sú žiadatelia, ktorí sú uvedení v Atlase rómskych komunít 2013 a  kde </w:t>
      </w:r>
      <w:r>
        <w:rPr>
          <w:rFonts w:asciiTheme="minorHAnsi" w:hAnsiTheme="minorHAnsi"/>
        </w:rPr>
        <w:t>populácia Rómov je 15 % a viac,</w:t>
      </w:r>
      <w:r>
        <w:rPr>
          <w:rFonts w:asciiTheme="minorHAnsi" w:hAnsiTheme="minorHAnsi"/>
          <w:lang w:eastAsia="sk-SK"/>
        </w:rPr>
        <w:t xml:space="preserve"> povinní uplatniť pri verejnom obstarávaní sociálne hľadisko, týkajúce sa inklúzie marginalizovaných rómskych komunít. Zoznam obcí uvedených v Atlase rómskych komunít 2013, kde </w:t>
      </w:r>
      <w:r>
        <w:rPr>
          <w:rFonts w:asciiTheme="minorHAnsi" w:hAnsiTheme="minorHAnsi"/>
        </w:rPr>
        <w:t>populácia Rómov je nad 15 % (vrátane)</w:t>
      </w:r>
      <w:r>
        <w:rPr>
          <w:rFonts w:asciiTheme="minorHAnsi" w:hAnsiTheme="minorHAnsi"/>
          <w:lang w:eastAsia="sk-SK"/>
        </w:rPr>
        <w:t xml:space="preserve"> sa nachádza v prílohe č. 6 tejto výzvy.</w:t>
      </w:r>
    </w:p>
    <w:p w:rsidR="00AE15C6" w:rsidRDefault="00AE15C6">
      <w:pPr>
        <w:tabs>
          <w:tab w:val="left" w:pos="289"/>
        </w:tabs>
        <w:spacing w:line="280" w:lineRule="exact"/>
        <w:ind w:left="567"/>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 xml:space="preserve">PPA akceptuje obstarávanie tovarov, stavebných prác a služieb, začaté najskôr dňa 01.12.2014. V závislosti na použitej metóde a postupe verejného obstarávania je žiadateľ povinný predložiť kompletnú dokumentáciu, vzťahujúcu sa na verejné obstarávanie, ktorá tvorí súčasť povinných príloh, uvedených vo formulári ŽoNFP, v časti  „C Povinné prílohy projektu pri podaní žiadosti“. </w:t>
      </w:r>
    </w:p>
    <w:p w:rsidR="00AE15C6" w:rsidRDefault="00AE15C6">
      <w:pPr>
        <w:pStyle w:val="Odsekzoznamu"/>
        <w:tabs>
          <w:tab w:val="left" w:pos="289"/>
        </w:tabs>
        <w:spacing w:line="280" w:lineRule="exact"/>
        <w:ind w:left="1020"/>
        <w:jc w:val="both"/>
        <w:rPr>
          <w:rFonts w:asciiTheme="minorHAnsi" w:hAnsiTheme="minorHAnsi"/>
          <w:color w:val="FF0000"/>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Doklady súvisiace s obstarávaním tovarov, stavebných prác a služieb musia byť v súlade s údajmi uvedenými v projektovej dokumentácii</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Žiadateľ ako verejný obstarávateľ, ktorý je povinný postupovať v zmysle § 11 odseku 1  Zákona č. 343/2015 z 18. novembra 2015 o verejnom obstarávaní a o zmene  a doplnení niektorých zákonov účinným od 18.04.2016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rsidR="00AE15C6" w:rsidRDefault="00AE15C6">
      <w:pPr>
        <w:ind w:left="851"/>
        <w:jc w:val="both"/>
        <w:rPr>
          <w:rFonts w:asciiTheme="minorHAnsi" w:hAnsiTheme="minorHAnsi"/>
          <w:strike/>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lastRenderedPageBreak/>
        <w:t xml:space="preserve">Ak ide o zákazku na dodanie tovaru, uskutočnenie stavebných prác alebo poskytnutie služby, ktorá nespĺňa podmienky  </w:t>
      </w:r>
      <w:r>
        <w:rPr>
          <w:rFonts w:ascii="Arial" w:hAnsi="Arial" w:cs="Arial"/>
          <w:sz w:val="20"/>
          <w:szCs w:val="20"/>
        </w:rPr>
        <w:t xml:space="preserve">zákazky </w:t>
      </w:r>
      <w:r>
        <w:rPr>
          <w:rFonts w:ascii="Calibri" w:hAnsi="Calibri" w:cs="Arial"/>
        </w:rPr>
        <w:t xml:space="preserve">s nízkymi hodnotami  podľa § 117  a zákazky podľa § 5 odsek 3, písmena  a) </w:t>
      </w:r>
      <w:r>
        <w:rPr>
          <w:rFonts w:asciiTheme="minorHAnsi" w:hAnsiTheme="minorHAnsi"/>
        </w:rPr>
        <w:t xml:space="preserve">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w:t>
      </w:r>
      <w:r>
        <w:rPr>
          <w:rFonts w:asciiTheme="minorHAnsi" w:hAnsiTheme="minorHAnsi"/>
          <w:strike/>
        </w:rPr>
        <w:t xml:space="preserve"> </w:t>
      </w:r>
      <w:r>
        <w:rPr>
          <w:rFonts w:asciiTheme="minorHAnsi" w:hAnsiTheme="minorHAnsi"/>
        </w:rPr>
        <w:t>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Ak ide o zákazku na dodanie tovaru, uskutočnenie stavebných prác alebo poskytnutie služby, ktorá nespĺňa podmienky podľa § 4 ods. 2 alebo ods. 3, (§9 ods. 9 Zákona č. 25/2006 Z. z. o verejnom obstarávaní  a o zmene a doplnení niektorých zákonov účinným do 17.04.2016 verejný obstarávateľ bol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rsidR="00AE15C6" w:rsidRDefault="00AE15C6">
      <w:pPr>
        <w:pStyle w:val="Odsekzoznamu"/>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Podľa § 21 ods. 1 zákona č. 25/2006 Z. z. o verejnom obstarávaní a o zmene a doplnení niektorých zákonov v znení účinným do 17.04.2016 verejný obstarávateľ a obstarávateľ je povinný evidovať všetky doklady a dokumenty z použitého postupu verejného obstarávania a uchovávať ich desať rokov od uzavretia zmluvy o poskytnutí NFP, ak ide o nadlimitnú zákazku</w:t>
      </w:r>
    </w:p>
    <w:p w:rsidR="00AE15C6" w:rsidRDefault="00AE15C6">
      <w:pPr>
        <w:tabs>
          <w:tab w:val="left" w:pos="289"/>
        </w:tabs>
        <w:spacing w:line="280" w:lineRule="exact"/>
        <w:jc w:val="both"/>
        <w:rPr>
          <w:rFonts w:asciiTheme="minorHAnsi" w:hAnsiTheme="minorHAnsi"/>
        </w:rPr>
      </w:pP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Predmet zákazky a rozpočet, resp. výkaz výmer (ak je to relevantné) nesmie byť v rozpore so ŽoNFP</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 xml:space="preserve">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w:t>
      </w:r>
      <w:r>
        <w:rPr>
          <w:rFonts w:asciiTheme="minorHAnsi" w:hAnsiTheme="minorHAnsi"/>
        </w:rPr>
        <w:lastRenderedPageBreak/>
        <w:t>stanovené zákonom o ochrane osobných údajov. Tretím stranám, musia byť v najskoršej fáze procesu poskytovania finančných prostriedkov z fondov EÚ poskytnuté informácie v rozsahu:</w:t>
      </w:r>
    </w:p>
    <w:p w:rsidR="00AE15C6" w:rsidRDefault="007C2CF9">
      <w:pPr>
        <w:numPr>
          <w:ilvl w:val="3"/>
          <w:numId w:val="6"/>
        </w:numPr>
        <w:tabs>
          <w:tab w:val="left" w:pos="1276"/>
        </w:tabs>
        <w:suppressAutoHyphens w:val="0"/>
        <w:ind w:left="1276" w:hanging="283"/>
        <w:jc w:val="both"/>
        <w:rPr>
          <w:rFonts w:asciiTheme="minorHAnsi" w:hAnsiTheme="minorHAnsi"/>
        </w:rPr>
      </w:pPr>
      <w:r>
        <w:rPr>
          <w:rFonts w:asciiTheme="minorHAnsi" w:hAnsiTheme="minorHAnsi"/>
        </w:rPr>
        <w:t>identifikačné údaje prevádzkovateľa databázy CED, ktorým je účtovník Európskej Komisie,</w:t>
      </w:r>
    </w:p>
    <w:p w:rsidR="00AE15C6" w:rsidRDefault="007C2CF9">
      <w:pPr>
        <w:numPr>
          <w:ilvl w:val="3"/>
          <w:numId w:val="6"/>
        </w:numPr>
        <w:tabs>
          <w:tab w:val="left" w:pos="1276"/>
        </w:tabs>
        <w:suppressAutoHyphens w:val="0"/>
        <w:ind w:left="1276" w:hanging="283"/>
        <w:jc w:val="both"/>
        <w:rPr>
          <w:rFonts w:asciiTheme="minorHAnsi" w:hAnsiTheme="minorHAnsi"/>
        </w:rPr>
      </w:pPr>
      <w:r>
        <w:rPr>
          <w:rFonts w:asciiTheme="minorHAnsi" w:hAnsiTheme="minorHAnsi"/>
        </w:rPr>
        <w:t xml:space="preserve">zoznam spracúvaných údajov, </w:t>
      </w:r>
    </w:p>
    <w:p w:rsidR="00AE15C6" w:rsidRDefault="007C2CF9">
      <w:pPr>
        <w:numPr>
          <w:ilvl w:val="3"/>
          <w:numId w:val="6"/>
        </w:numPr>
        <w:tabs>
          <w:tab w:val="left" w:pos="1276"/>
        </w:tabs>
        <w:suppressAutoHyphens w:val="0"/>
        <w:ind w:left="1276" w:hanging="283"/>
        <w:jc w:val="both"/>
        <w:rPr>
          <w:rFonts w:asciiTheme="minorHAnsi" w:hAnsiTheme="minorHAnsi"/>
        </w:rPr>
      </w:pPr>
      <w:r>
        <w:rPr>
          <w:rFonts w:asciiTheme="minorHAnsi" w:hAnsiTheme="minorHAnsi"/>
        </w:rPr>
        <w:t>účel spracúvania osobných údajov,</w:t>
      </w:r>
    </w:p>
    <w:p w:rsidR="00AE15C6" w:rsidRDefault="007C2CF9">
      <w:pPr>
        <w:numPr>
          <w:ilvl w:val="3"/>
          <w:numId w:val="6"/>
        </w:numPr>
        <w:tabs>
          <w:tab w:val="left" w:pos="1276"/>
        </w:tabs>
        <w:suppressAutoHyphens w:val="0"/>
        <w:ind w:left="1276" w:hanging="283"/>
        <w:jc w:val="both"/>
        <w:rPr>
          <w:rFonts w:asciiTheme="minorHAnsi" w:hAnsiTheme="minorHAnsi"/>
        </w:rPr>
      </w:pPr>
      <w:r>
        <w:rPr>
          <w:rFonts w:asciiTheme="minorHAnsi" w:hAnsiTheme="minorHAnsi"/>
        </w:rPr>
        <w:t>subjekty, ktorým uvedené údaje budú poskytnuté alebo sprístupnené,</w:t>
      </w:r>
    </w:p>
    <w:p w:rsidR="00AE15C6" w:rsidRDefault="007C2CF9">
      <w:pPr>
        <w:numPr>
          <w:ilvl w:val="3"/>
          <w:numId w:val="6"/>
        </w:numPr>
        <w:tabs>
          <w:tab w:val="left" w:pos="1276"/>
        </w:tabs>
        <w:suppressAutoHyphens w:val="0"/>
        <w:ind w:left="1276" w:hanging="283"/>
        <w:jc w:val="both"/>
        <w:rPr>
          <w:rFonts w:asciiTheme="minorHAnsi" w:hAnsiTheme="minorHAnsi"/>
        </w:rPr>
      </w:pPr>
      <w:r>
        <w:rPr>
          <w:rFonts w:asciiTheme="minorHAnsi" w:hAnsiTheme="minorHAnsi"/>
        </w:rPr>
        <w:t>poučenie o právach tretích osôb v súvislosti s ochranou osobných údajov.</w:t>
      </w:r>
    </w:p>
    <w:p w:rsidR="00AE15C6" w:rsidRDefault="007C2CF9">
      <w:pPr>
        <w:ind w:left="993"/>
        <w:jc w:val="both"/>
        <w:rPr>
          <w:rFonts w:asciiTheme="minorHAnsi" w:hAnsiTheme="minorHAnsi"/>
        </w:rPr>
      </w:pPr>
      <w:r>
        <w:rPr>
          <w:rFonts w:asciiTheme="minorHAnsi" w:hAnsiTheme="minorHAnsi"/>
        </w:rPr>
        <w:t>Predbežná informácia pre žiadateľov o nenávratný finančný príspevok/o príspevok v zmysle čl. 13 Nariadenia Komisie (ES, Euratom) č. 1302/2008 o centrálnej databáze vylúčených subjektov tvorí Prílohu č. 3.3 tejto výzvy.</w:t>
      </w:r>
    </w:p>
    <w:p w:rsidR="00AE15C6" w:rsidRDefault="00AE15C6">
      <w:pPr>
        <w:jc w:val="both"/>
        <w:rPr>
          <w:rFonts w:asciiTheme="minorHAnsi" w:hAnsiTheme="minorHAnsi"/>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Ďalšie podmienky poskytnutia príspevku</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2"/>
          <w:numId w:val="14"/>
        </w:numPr>
        <w:tabs>
          <w:tab w:val="left" w:pos="289"/>
        </w:tabs>
        <w:spacing w:line="280" w:lineRule="exact"/>
        <w:jc w:val="both"/>
        <w:rPr>
          <w:rFonts w:asciiTheme="minorHAnsi" w:hAnsiTheme="minorHAnsi"/>
          <w:b/>
        </w:rPr>
      </w:pPr>
      <w:r>
        <w:rPr>
          <w:rFonts w:asciiTheme="minorHAnsi" w:hAnsiTheme="minorHAnsi"/>
        </w:rPr>
        <w:t xml:space="preserve">Žiadateľ </w:t>
      </w:r>
      <w:r>
        <w:rPr>
          <w:rFonts w:asciiTheme="minorHAnsi" w:hAnsiTheme="minorHAnsi"/>
          <w:lang w:eastAsia="sk-SK"/>
        </w:rPr>
        <w:t>musí spĺňať všetky relevantné všeobecné kritériá pre výber projektov, uvedené v rámci bodoch 2.5.1. a 2.5.2. V prípade nesplnenia niektorého z týchto kritérií vydá PPA rozhodnutie o neschválení ŽoNFP</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ŽoNFP musí byť kompletná po obsahovej stránke. </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ŽoNFP nebude schválená v prípade, že žiadateľ uviedol nepravdivé čestné vyhlásenie žiadateľa o konflikte záujmov.</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Neoprávnené výdavky  je žiadateľ povinný z požadovanej sumy odčleniť. </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Pred uzavretím Zmluvy o poskytnutí NFP  neexistuje právny nárok na poskytnutie nenávratného finančného príspevku.</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Žiadatelia môžu realizovať projekt aj pred uzatvorením zmluvy o poskytnutí NFP, znášajú však riziko, že projekt na financovanie z PRV nebude schválený. </w:t>
      </w:r>
    </w:p>
    <w:p w:rsidR="00AE15C6" w:rsidRDefault="00AE15C6">
      <w:pPr>
        <w:pStyle w:val="Odsekzoznamu"/>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PPA nebude akceptovať žiadosti o zmenu v ŽoNFP, ovplyvňujúce jej bodové hodnotenie smerom nahor.</w:t>
      </w:r>
    </w:p>
    <w:p w:rsidR="00AE15C6" w:rsidRDefault="00AE15C6">
      <w:pPr>
        <w:pStyle w:val="Odsekzoznamu"/>
        <w:tabs>
          <w:tab w:val="left" w:pos="289"/>
        </w:tabs>
        <w:spacing w:line="280" w:lineRule="exact"/>
        <w:ind w:left="1020"/>
        <w:jc w:val="both"/>
        <w:rPr>
          <w:rFonts w:asciiTheme="minorHAnsi" w:hAnsiTheme="minorHAnsi"/>
        </w:rPr>
      </w:pPr>
    </w:p>
    <w:p w:rsidR="00AE15C6" w:rsidRDefault="007C2CF9">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PPA pri výbere a schvaľovaní ŽoNFP môže využiť „zásobník projektov“ v zmysle ustanovení Systému riadenia PRV.</w:t>
      </w: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AE15C6">
      <w:pPr>
        <w:ind w:left="1430"/>
        <w:jc w:val="both"/>
        <w:rPr>
          <w:rFonts w:asciiTheme="minorHAnsi" w:hAnsiTheme="minorHAnsi"/>
          <w:b/>
        </w:rPr>
      </w:pPr>
    </w:p>
    <w:p w:rsidR="00AE15C6" w:rsidRDefault="007C2CF9">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Zmeny vo výzve a zrušenie výzvy:</w:t>
      </w:r>
    </w:p>
    <w:p w:rsidR="00AE15C6" w:rsidRDefault="00AE15C6">
      <w:pPr>
        <w:tabs>
          <w:tab w:val="left" w:pos="289"/>
        </w:tabs>
        <w:spacing w:line="280" w:lineRule="exact"/>
        <w:ind w:left="567"/>
        <w:jc w:val="both"/>
        <w:rPr>
          <w:rFonts w:asciiTheme="minorHAnsi" w:hAnsiTheme="minorHAnsi"/>
          <w:b/>
        </w:rPr>
      </w:pPr>
    </w:p>
    <w:p w:rsidR="00AE15C6" w:rsidRDefault="007C2CF9">
      <w:pPr>
        <w:pStyle w:val="Odsekzoznamu"/>
        <w:numPr>
          <w:ilvl w:val="2"/>
          <w:numId w:val="15"/>
        </w:numPr>
        <w:tabs>
          <w:tab w:val="left" w:pos="289"/>
        </w:tabs>
        <w:spacing w:line="280" w:lineRule="exact"/>
        <w:jc w:val="both"/>
        <w:rPr>
          <w:rFonts w:asciiTheme="minorHAnsi" w:hAnsiTheme="minorHAnsi"/>
          <w:b/>
        </w:rPr>
      </w:pPr>
      <w:r>
        <w:rPr>
          <w:rFonts w:asciiTheme="minorHAnsi" w:hAnsiTheme="minorHAnsi"/>
          <w:b/>
        </w:rPr>
        <w:t>Zmeny vo výzve</w:t>
      </w:r>
    </w:p>
    <w:p w:rsidR="00AE15C6" w:rsidRDefault="00AE15C6">
      <w:pPr>
        <w:tabs>
          <w:tab w:val="left" w:pos="289"/>
          <w:tab w:val="left" w:pos="343"/>
        </w:tabs>
        <w:spacing w:line="280" w:lineRule="exact"/>
        <w:ind w:left="321" w:hanging="675"/>
        <w:rPr>
          <w:rFonts w:asciiTheme="minorHAnsi" w:hAnsiTheme="minorHAnsi"/>
        </w:rPr>
      </w:pPr>
    </w:p>
    <w:p w:rsidR="00AE15C6" w:rsidRDefault="007C2CF9">
      <w:pPr>
        <w:numPr>
          <w:ilvl w:val="3"/>
          <w:numId w:val="2"/>
        </w:numPr>
        <w:spacing w:line="280" w:lineRule="exact"/>
        <w:ind w:left="709" w:hanging="283"/>
        <w:jc w:val="both"/>
        <w:rPr>
          <w:rFonts w:asciiTheme="minorHAnsi" w:hAnsiTheme="minorHAnsi"/>
          <w:b/>
          <w:bCs/>
        </w:rPr>
      </w:pPr>
      <w:r>
        <w:rPr>
          <w:rFonts w:asciiTheme="minorHAnsi" w:hAnsiTheme="minorHAnsi"/>
        </w:rPr>
        <w:t>Po uzavretí výzvy je možné meniť indikatívnu výšku finančných prostriedkov určených na vyčerpanie pre jednotlivé oblasti vo výzve.</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môže po zverejnení výzvy zmeniť formálne náležitosti výzvy vrátane jej príloh.</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môže výzvu zmeniť vrátane jej príloh do termínu uzavretia výzvy, ak sa zmenou podstatným spôsobom nezmenia podmienky poskytnutia príspevku stanovené vo výzve, pričom následne termín uzavretia výzvy (v prípade potreby) primerane predĺži.</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oprávnený skrátiť dĺžku vyhlásenej výzvy.</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v prípade zmeny výzvy umožní žiadateľovi doplniť alebo zmeniť ŽoNFP podanú do termínu zmeny výzvy, ak ide o takú zmenu výzvy, ktorou môže byť skôr podaná ŽoNFP dotknutá, pričom určí primeranú lehotu na doplnenie alebo zmenu ŽoNFP.</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 xml:space="preserve">Zmenu výzvy nie je možné vykonať, ak ide o nasledovné podmienky poskytnutia príspevku: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žiadateľa,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partnera,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aktivít,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cieľovej skupiny,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miesta realizácie,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spôsob financovania, </w:t>
      </w:r>
    </w:p>
    <w:p w:rsidR="00AE15C6" w:rsidRDefault="007C2CF9">
      <w:pPr>
        <w:numPr>
          <w:ilvl w:val="3"/>
          <w:numId w:val="34"/>
        </w:numPr>
        <w:spacing w:line="280" w:lineRule="exact"/>
        <w:ind w:left="1134" w:hanging="425"/>
        <w:jc w:val="both"/>
        <w:rPr>
          <w:rFonts w:asciiTheme="minorHAnsi" w:hAnsiTheme="minorHAnsi"/>
          <w:bCs/>
        </w:rPr>
      </w:pPr>
      <w:r>
        <w:rPr>
          <w:rFonts w:asciiTheme="minorHAnsi" w:hAnsiTheme="minorHAnsi"/>
          <w:bCs/>
        </w:rPr>
        <w:t>kritériá na výber projektov.</w:t>
      </w:r>
    </w:p>
    <w:p w:rsidR="00AE15C6" w:rsidRDefault="007C2CF9">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Po uzavretí výzvy je možné meniť indikatívnu výšku finančných prostriedkov určených na vyčerpanie pre jednotlivé oblasti vo výzve.</w:t>
      </w:r>
    </w:p>
    <w:p w:rsidR="00AE15C6" w:rsidRDefault="007C2CF9">
      <w:pPr>
        <w:spacing w:line="280" w:lineRule="exact"/>
        <w:ind w:left="426"/>
        <w:jc w:val="both"/>
      </w:pPr>
      <w:r>
        <w:rPr>
          <w:rFonts w:asciiTheme="minorHAnsi" w:hAnsiTheme="minorHAnsi"/>
          <w:bCs/>
        </w:rPr>
        <w:t xml:space="preserve">Zmeny výzvy a jej príloh, vrátane zdôvodnenia zmien budú zverejňované formou oznámenia na webovom sídle PPA: </w:t>
      </w:r>
      <w:hyperlink r:id="rId12">
        <w:r>
          <w:rPr>
            <w:rStyle w:val="InternetLink"/>
            <w:rFonts w:asciiTheme="minorHAnsi" w:hAnsiTheme="minorHAnsi"/>
            <w:bCs/>
            <w:sz w:val="24"/>
          </w:rPr>
          <w:t>http://www.apa.sk</w:t>
        </w:r>
      </w:hyperlink>
      <w:r>
        <w:rPr>
          <w:rFonts w:asciiTheme="minorHAnsi" w:hAnsiTheme="minorHAnsi"/>
          <w:bCs/>
        </w:rPr>
        <w:t>.</w:t>
      </w:r>
    </w:p>
    <w:p w:rsidR="00AE15C6" w:rsidRDefault="00AE15C6">
      <w:pPr>
        <w:spacing w:line="280" w:lineRule="exact"/>
        <w:ind w:left="709"/>
        <w:jc w:val="both"/>
        <w:rPr>
          <w:rFonts w:asciiTheme="minorHAnsi" w:hAnsiTheme="minorHAnsi"/>
          <w:b/>
          <w:bCs/>
        </w:rPr>
      </w:pPr>
    </w:p>
    <w:p w:rsidR="00AE15C6" w:rsidRDefault="00AE15C6">
      <w:pPr>
        <w:spacing w:line="280" w:lineRule="exact"/>
        <w:ind w:left="709"/>
        <w:jc w:val="both"/>
        <w:rPr>
          <w:rFonts w:asciiTheme="minorHAnsi" w:hAnsiTheme="minorHAnsi"/>
          <w:b/>
          <w:bCs/>
        </w:rPr>
      </w:pPr>
    </w:p>
    <w:p w:rsidR="00AE15C6" w:rsidRDefault="00AE15C6">
      <w:pPr>
        <w:spacing w:line="280" w:lineRule="exact"/>
        <w:ind w:left="709"/>
        <w:jc w:val="both"/>
        <w:rPr>
          <w:rFonts w:asciiTheme="minorHAnsi" w:hAnsiTheme="minorHAnsi"/>
          <w:b/>
          <w:bCs/>
        </w:rPr>
      </w:pPr>
    </w:p>
    <w:p w:rsidR="00AE15C6" w:rsidRDefault="007C2CF9">
      <w:pPr>
        <w:pStyle w:val="Odsekzoznamu"/>
        <w:numPr>
          <w:ilvl w:val="2"/>
          <w:numId w:val="15"/>
        </w:numPr>
        <w:tabs>
          <w:tab w:val="left" w:pos="289"/>
        </w:tabs>
        <w:spacing w:line="280" w:lineRule="exact"/>
        <w:jc w:val="both"/>
        <w:rPr>
          <w:rFonts w:asciiTheme="minorHAnsi" w:hAnsiTheme="minorHAnsi"/>
          <w:b/>
        </w:rPr>
      </w:pPr>
      <w:r>
        <w:rPr>
          <w:rFonts w:asciiTheme="minorHAnsi" w:hAnsiTheme="minorHAnsi"/>
          <w:b/>
        </w:rPr>
        <w:t>Zrušenie výzvy:</w:t>
      </w:r>
    </w:p>
    <w:p w:rsidR="00AE15C6" w:rsidRDefault="00AE15C6">
      <w:pPr>
        <w:tabs>
          <w:tab w:val="left" w:pos="289"/>
          <w:tab w:val="left" w:pos="343"/>
        </w:tabs>
        <w:spacing w:line="280" w:lineRule="exact"/>
        <w:ind w:left="321" w:hanging="675"/>
        <w:rPr>
          <w:rFonts w:asciiTheme="minorHAnsi" w:hAnsiTheme="minorHAnsi"/>
          <w:b/>
          <w:bCs/>
        </w:rPr>
      </w:pPr>
    </w:p>
    <w:p w:rsidR="00AE15C6" w:rsidRDefault="007C2CF9">
      <w:pPr>
        <w:numPr>
          <w:ilvl w:val="3"/>
          <w:numId w:val="2"/>
        </w:numPr>
        <w:spacing w:line="280" w:lineRule="exact"/>
        <w:ind w:left="709" w:hanging="283"/>
        <w:jc w:val="both"/>
        <w:rPr>
          <w:rFonts w:asciiTheme="minorHAnsi" w:hAnsiTheme="minorHAnsi"/>
        </w:rPr>
      </w:pPr>
      <w:r>
        <w:rPr>
          <w:rFonts w:asciiTheme="minorHAnsi" w:hAnsiTheme="minorHAnsi"/>
        </w:rPr>
        <w:t>PPA môže výzvu zrušiť do vydania prvého rozhodnutia o žiadosti, podanej na základe výzvy, ak dôjde k podstatnej zmene podmienok poskytnutia príspevku alebo ak z objektívnych dôvodov nie je možné financovať projekty na základe výzvy.</w:t>
      </w:r>
    </w:p>
    <w:p w:rsidR="00AE15C6" w:rsidRDefault="007C2CF9">
      <w:pPr>
        <w:numPr>
          <w:ilvl w:val="3"/>
          <w:numId w:val="2"/>
        </w:numPr>
        <w:spacing w:line="280" w:lineRule="exact"/>
        <w:ind w:left="709" w:hanging="283"/>
        <w:jc w:val="both"/>
        <w:rPr>
          <w:rFonts w:asciiTheme="minorHAnsi" w:hAnsiTheme="minorHAnsi"/>
        </w:rPr>
      </w:pPr>
      <w:r>
        <w:rPr>
          <w:rFonts w:asciiTheme="minorHAnsi" w:hAnsiTheme="minorHAnsi"/>
        </w:rPr>
        <w:t>PPA predloženú žiadosť podanú do dátumu zrušenia výzvy žiadateľovi vráti alebo o žiadosti rozhodne, ak je možné rozhodnúť podľa podmienok poskytnutia príspevku platných ku dňu predloženia ŽoNFP, pokiaľ už nebolo rozhodnuté.</w:t>
      </w:r>
    </w:p>
    <w:p w:rsidR="00AE15C6" w:rsidRDefault="007C2CF9">
      <w:pPr>
        <w:numPr>
          <w:ilvl w:val="3"/>
          <w:numId w:val="2"/>
        </w:numPr>
        <w:spacing w:line="280" w:lineRule="exact"/>
        <w:ind w:left="709" w:hanging="283"/>
        <w:jc w:val="both"/>
      </w:pPr>
      <w:r>
        <w:rPr>
          <w:rFonts w:asciiTheme="minorHAnsi" w:hAnsiTheme="minorHAnsi"/>
        </w:rPr>
        <w:t xml:space="preserve">Zrušenie výzvy, vrátane zdôvodnenia zrušenia bude zverejnené formou oznámenia na webovom sídle PPA: </w:t>
      </w:r>
      <w:hyperlink r:id="rId13">
        <w:r>
          <w:rPr>
            <w:rStyle w:val="InternetLink"/>
            <w:rFonts w:asciiTheme="minorHAnsi" w:hAnsiTheme="minorHAnsi"/>
          </w:rPr>
          <w:t>http://www.apa</w:t>
        </w:r>
        <w:r>
          <w:rPr>
            <w:rStyle w:val="InternetLink"/>
            <w:rFonts w:asciiTheme="minorHAnsi" w:hAnsiTheme="minorHAnsi"/>
            <w:sz w:val="24"/>
          </w:rPr>
          <w:t>.sk</w:t>
        </w:r>
      </w:hyperlink>
      <w:r>
        <w:rPr>
          <w:rFonts w:asciiTheme="minorHAnsi" w:hAnsiTheme="minorHAnsi"/>
        </w:rPr>
        <w:t>.</w:t>
      </w:r>
    </w:p>
    <w:p w:rsidR="00AE15C6" w:rsidRDefault="00AE15C6">
      <w:pPr>
        <w:ind w:left="1146"/>
        <w:jc w:val="both"/>
        <w:rPr>
          <w:rFonts w:asciiTheme="minorHAnsi" w:hAnsiTheme="minorHAnsi"/>
        </w:rPr>
      </w:pPr>
    </w:p>
    <w:p w:rsidR="00AE15C6" w:rsidRDefault="007C2CF9">
      <w:pPr>
        <w:tabs>
          <w:tab w:val="left" w:pos="289"/>
        </w:tabs>
        <w:spacing w:line="280" w:lineRule="exact"/>
        <w:ind w:left="360" w:hanging="360"/>
        <w:jc w:val="both"/>
        <w:rPr>
          <w:rFonts w:asciiTheme="minorHAnsi" w:hAnsiTheme="minorHAnsi"/>
          <w:b/>
          <w:bCs/>
        </w:rPr>
      </w:pPr>
      <w:r>
        <w:rPr>
          <w:rFonts w:asciiTheme="minorHAnsi" w:hAnsiTheme="minorHAnsi"/>
          <w:b/>
          <w:bCs/>
        </w:rPr>
        <w:t>Prílohy:</w:t>
      </w:r>
    </w:p>
    <w:p w:rsidR="00AE15C6" w:rsidRDefault="00AE15C6">
      <w:pPr>
        <w:tabs>
          <w:tab w:val="left" w:pos="289"/>
        </w:tabs>
        <w:spacing w:line="280" w:lineRule="exact"/>
        <w:ind w:left="360" w:hanging="360"/>
        <w:jc w:val="both"/>
        <w:rPr>
          <w:rFonts w:asciiTheme="minorHAnsi" w:hAnsiTheme="minorHAnsi"/>
          <w:b/>
          <w:bCs/>
        </w:rPr>
      </w:pPr>
    </w:p>
    <w:p w:rsidR="00AE15C6" w:rsidRDefault="007C2CF9">
      <w:pPr>
        <w:pStyle w:val="Odsekzoznamu"/>
        <w:numPr>
          <w:ilvl w:val="1"/>
          <w:numId w:val="3"/>
        </w:numPr>
        <w:tabs>
          <w:tab w:val="left" w:pos="289"/>
        </w:tabs>
        <w:spacing w:line="280" w:lineRule="exact"/>
        <w:ind w:left="567" w:hanging="425"/>
        <w:jc w:val="both"/>
        <w:rPr>
          <w:rFonts w:asciiTheme="minorHAnsi" w:hAnsiTheme="minorHAnsi"/>
          <w:b/>
        </w:rPr>
      </w:pPr>
      <w:r>
        <w:rPr>
          <w:rFonts w:asciiTheme="minorHAnsi" w:hAnsiTheme="minorHAnsi"/>
          <w:b/>
        </w:rPr>
        <w:t xml:space="preserve">Formulár žiadosti o nenávratný finančný príspevok </w:t>
      </w:r>
    </w:p>
    <w:p w:rsidR="00AE15C6" w:rsidRDefault="007C2CF9">
      <w:pPr>
        <w:numPr>
          <w:ilvl w:val="1"/>
          <w:numId w:val="3"/>
        </w:numPr>
        <w:tabs>
          <w:tab w:val="left" w:pos="289"/>
        </w:tabs>
        <w:spacing w:line="280" w:lineRule="exact"/>
        <w:ind w:left="567" w:hanging="425"/>
        <w:jc w:val="both"/>
        <w:rPr>
          <w:rFonts w:asciiTheme="minorHAnsi" w:hAnsiTheme="minorHAnsi"/>
          <w:b/>
        </w:rPr>
      </w:pPr>
      <w:r>
        <w:rPr>
          <w:rFonts w:asciiTheme="minorHAnsi" w:hAnsiTheme="minorHAnsi"/>
          <w:b/>
        </w:rPr>
        <w:t>Príručka pre žiadateľa o poskytnutie nenávratného finančného príspevku</w:t>
      </w:r>
    </w:p>
    <w:p w:rsidR="00AE15C6" w:rsidRDefault="007C2CF9">
      <w:pPr>
        <w:numPr>
          <w:ilvl w:val="1"/>
          <w:numId w:val="3"/>
        </w:numPr>
        <w:tabs>
          <w:tab w:val="left" w:pos="289"/>
        </w:tabs>
        <w:spacing w:line="280" w:lineRule="exact"/>
        <w:ind w:left="567" w:hanging="425"/>
        <w:jc w:val="both"/>
        <w:rPr>
          <w:rFonts w:asciiTheme="minorHAnsi" w:hAnsiTheme="minorHAnsi"/>
          <w:b/>
        </w:rPr>
      </w:pPr>
      <w:r>
        <w:rPr>
          <w:rFonts w:asciiTheme="minorHAnsi" w:hAnsiTheme="minorHAnsi"/>
          <w:b/>
        </w:rPr>
        <w:t>Predbežná informácia pre žiadateľov o nenávratný finančný príspevok/o príspevok v zmysle čl. 13 Nariadenia Komisie (ES, Euratom) č. 1302/2008 o centrálnej databáze vylúčených subjektov</w:t>
      </w:r>
    </w:p>
    <w:p w:rsidR="00AE15C6" w:rsidRDefault="007C2CF9">
      <w:pPr>
        <w:numPr>
          <w:ilvl w:val="1"/>
          <w:numId w:val="3"/>
        </w:numPr>
        <w:tabs>
          <w:tab w:val="left" w:pos="289"/>
        </w:tabs>
        <w:spacing w:line="280" w:lineRule="exact"/>
        <w:ind w:left="567" w:hanging="425"/>
        <w:jc w:val="both"/>
        <w:rPr>
          <w:rFonts w:asciiTheme="minorHAnsi" w:hAnsiTheme="minorHAnsi"/>
          <w:b/>
        </w:rPr>
      </w:pPr>
      <w:r>
        <w:rPr>
          <w:rFonts w:asciiTheme="minorHAnsi" w:hAnsiTheme="minorHAnsi"/>
          <w:b/>
          <w:bCs/>
        </w:rPr>
        <w:t>Priemerná miera evidovanej nezamestnanosti k 31.12.2016</w:t>
      </w:r>
    </w:p>
    <w:p w:rsidR="00AE15C6" w:rsidRDefault="007C2CF9">
      <w:pPr>
        <w:numPr>
          <w:ilvl w:val="1"/>
          <w:numId w:val="3"/>
        </w:numPr>
        <w:tabs>
          <w:tab w:val="left" w:pos="289"/>
        </w:tabs>
        <w:spacing w:line="280" w:lineRule="exact"/>
        <w:ind w:left="567" w:hanging="425"/>
        <w:jc w:val="both"/>
        <w:rPr>
          <w:rFonts w:asciiTheme="minorHAnsi" w:hAnsiTheme="minorHAnsi"/>
          <w:b/>
          <w:bCs/>
        </w:rPr>
      </w:pPr>
      <w:r>
        <w:rPr>
          <w:rFonts w:asciiTheme="minorHAnsi" w:hAnsiTheme="minorHAnsi"/>
          <w:b/>
          <w:bCs/>
        </w:rPr>
        <w:t>Metodický pokyn pri</w:t>
      </w:r>
      <w:r>
        <w:rPr>
          <w:rFonts w:asciiTheme="minorHAnsi" w:hAnsiTheme="minorHAnsi"/>
          <w:bCs/>
        </w:rPr>
        <w:t xml:space="preserve"> </w:t>
      </w:r>
      <w:r>
        <w:rPr>
          <w:rFonts w:asciiTheme="minorHAnsi" w:hAnsiTheme="minorHAnsi"/>
          <w:b/>
          <w:bCs/>
        </w:rPr>
        <w:t>zadávaní zákaziek na dodanie tovaru, uskutočnenie stavebných prác a na poskytnutie služieb pri uplatňovaní sociálneho aspektu pri verejnom obstarávaní pre Program rozvoja vidieka Slovenskej republiky 2014 – 2020</w:t>
      </w:r>
    </w:p>
    <w:p w:rsidR="00AE15C6" w:rsidRDefault="007C2CF9">
      <w:pPr>
        <w:numPr>
          <w:ilvl w:val="1"/>
          <w:numId w:val="3"/>
        </w:numPr>
        <w:tabs>
          <w:tab w:val="left" w:pos="289"/>
        </w:tabs>
        <w:spacing w:line="280" w:lineRule="exact"/>
        <w:ind w:left="567" w:hanging="425"/>
        <w:jc w:val="both"/>
        <w:rPr>
          <w:rFonts w:asciiTheme="minorHAnsi" w:hAnsiTheme="minorHAnsi"/>
          <w:b/>
          <w:bCs/>
        </w:rPr>
      </w:pPr>
      <w:r>
        <w:rPr>
          <w:rFonts w:asciiTheme="minorHAnsi" w:hAnsiTheme="minorHAnsi"/>
          <w:b/>
          <w:lang w:eastAsia="sk-SK"/>
        </w:rPr>
        <w:t>Zoznam obcí uvedených v Atlase rómskych komunít 2013 kde populácia Rómov je nad 15 % (vrátane).</w:t>
      </w:r>
    </w:p>
    <w:p w:rsidR="00AE15C6" w:rsidRDefault="007C2CF9">
      <w:pPr>
        <w:numPr>
          <w:ilvl w:val="1"/>
          <w:numId w:val="3"/>
        </w:numPr>
        <w:tabs>
          <w:tab w:val="left" w:pos="289"/>
        </w:tabs>
        <w:spacing w:line="280" w:lineRule="exact"/>
        <w:ind w:left="567" w:hanging="425"/>
        <w:jc w:val="both"/>
        <w:rPr>
          <w:rFonts w:asciiTheme="minorHAnsi" w:hAnsiTheme="minorHAnsi"/>
          <w:b/>
          <w:bCs/>
        </w:rPr>
      </w:pPr>
      <w:r>
        <w:rPr>
          <w:rFonts w:asciiTheme="minorHAnsi" w:hAnsiTheme="minorHAnsi"/>
          <w:b/>
          <w:lang w:eastAsia="sk-SK"/>
        </w:rPr>
        <w:t>Zoznam obcí do 1000 obyvateľov k 31.12.2014.</w:t>
      </w:r>
    </w:p>
    <w:p w:rsidR="00AE15C6" w:rsidRDefault="007C2CF9">
      <w:pPr>
        <w:numPr>
          <w:ilvl w:val="1"/>
          <w:numId w:val="3"/>
        </w:numPr>
        <w:tabs>
          <w:tab w:val="left" w:pos="289"/>
        </w:tabs>
        <w:spacing w:line="280" w:lineRule="exact"/>
        <w:ind w:left="567" w:hanging="425"/>
        <w:jc w:val="both"/>
        <w:rPr>
          <w:rFonts w:asciiTheme="minorHAnsi" w:hAnsiTheme="minorHAnsi"/>
          <w:b/>
          <w:lang w:eastAsia="sk-SK"/>
        </w:rPr>
      </w:pPr>
      <w:r>
        <w:rPr>
          <w:rFonts w:asciiTheme="minorHAnsi" w:hAnsiTheme="minorHAnsi"/>
          <w:b/>
          <w:lang w:eastAsia="sk-SK"/>
        </w:rPr>
        <w:t>Čestné vyhlásenie žiadateľa o kompletnosti dokumentácie z  verejného obstarávania</w:t>
      </w:r>
    </w:p>
    <w:p w:rsidR="00AE15C6" w:rsidRDefault="007C2CF9">
      <w:pPr>
        <w:numPr>
          <w:ilvl w:val="1"/>
          <w:numId w:val="3"/>
        </w:numPr>
        <w:tabs>
          <w:tab w:val="left" w:pos="289"/>
        </w:tabs>
        <w:spacing w:line="280" w:lineRule="exact"/>
        <w:ind w:left="567" w:hanging="425"/>
        <w:jc w:val="both"/>
        <w:rPr>
          <w:rFonts w:asciiTheme="minorHAnsi" w:hAnsiTheme="minorHAnsi"/>
          <w:b/>
          <w:lang w:eastAsia="sk-SK"/>
        </w:rPr>
      </w:pPr>
      <w:r>
        <w:rPr>
          <w:rFonts w:asciiTheme="minorHAnsi" w:hAnsiTheme="minorHAnsi"/>
          <w:b/>
          <w:bCs/>
          <w:lang w:eastAsia="sk-SK"/>
        </w:rPr>
        <w:t>Identifikácia oblastí podpory, kde budú EŠIF a ostatné nástroje podpory použité synergickým a komplementárnym spôsobom</w:t>
      </w:r>
    </w:p>
    <w:p w:rsidR="00AE15C6" w:rsidRDefault="007C2CF9">
      <w:pPr>
        <w:numPr>
          <w:ilvl w:val="1"/>
          <w:numId w:val="3"/>
        </w:numPr>
        <w:tabs>
          <w:tab w:val="left" w:pos="289"/>
        </w:tabs>
        <w:spacing w:line="280" w:lineRule="exact"/>
        <w:ind w:left="567" w:hanging="425"/>
        <w:jc w:val="both"/>
        <w:rPr>
          <w:rFonts w:asciiTheme="minorHAnsi" w:hAnsiTheme="minorHAnsi"/>
          <w:b/>
          <w:bCs/>
          <w:lang w:eastAsia="sk-SK"/>
        </w:rPr>
      </w:pPr>
      <w:r>
        <w:rPr>
          <w:rFonts w:asciiTheme="minorHAnsi" w:hAnsiTheme="minorHAnsi"/>
          <w:b/>
          <w:bCs/>
          <w:lang w:eastAsia="sk-SK"/>
        </w:rPr>
        <w:t>Zoznam merateľných ukazovateľov</w:t>
      </w:r>
    </w:p>
    <w:p w:rsidR="00AE15C6" w:rsidRDefault="00AE15C6">
      <w:pPr>
        <w:tabs>
          <w:tab w:val="left" w:pos="289"/>
        </w:tabs>
        <w:spacing w:line="280" w:lineRule="exact"/>
        <w:ind w:left="567"/>
        <w:jc w:val="both"/>
        <w:rPr>
          <w:rFonts w:asciiTheme="minorHAnsi" w:hAnsiTheme="minorHAnsi"/>
          <w:b/>
          <w:bCs/>
        </w:rPr>
      </w:pPr>
    </w:p>
    <w:p w:rsidR="00AE15C6" w:rsidRDefault="00AE15C6">
      <w:pPr>
        <w:tabs>
          <w:tab w:val="left" w:pos="289"/>
        </w:tabs>
        <w:spacing w:line="280" w:lineRule="exact"/>
        <w:ind w:left="142"/>
        <w:jc w:val="both"/>
        <w:rPr>
          <w:rFonts w:asciiTheme="minorHAnsi" w:hAnsiTheme="minorHAnsi"/>
          <w:b/>
        </w:rPr>
      </w:pPr>
    </w:p>
    <w:p w:rsidR="00AE15C6" w:rsidRDefault="00AE15C6">
      <w:pPr>
        <w:pStyle w:val="Normlnywebov"/>
        <w:spacing w:before="120" w:after="0"/>
        <w:ind w:left="357" w:firstLine="0"/>
        <w:rPr>
          <w:rFonts w:asciiTheme="minorHAnsi" w:hAnsiTheme="minorHAnsi" w:cs="Times New Roman"/>
          <w:sz w:val="24"/>
          <w:szCs w:val="24"/>
        </w:rPr>
      </w:pPr>
    </w:p>
    <w:p w:rsidR="00AE15C6" w:rsidRDefault="00AE15C6">
      <w:pPr>
        <w:pStyle w:val="Normlnywebov"/>
        <w:spacing w:before="0" w:after="0"/>
        <w:ind w:left="360" w:firstLine="0"/>
        <w:rPr>
          <w:rFonts w:asciiTheme="minorHAnsi" w:hAnsiTheme="minorHAnsi" w:cs="Times New Roman"/>
          <w:sz w:val="24"/>
          <w:szCs w:val="24"/>
        </w:rPr>
      </w:pPr>
    </w:p>
    <w:p w:rsidR="00AE15C6" w:rsidRDefault="007C2CF9">
      <w:pPr>
        <w:rPr>
          <w:rFonts w:asciiTheme="minorHAnsi" w:hAnsiTheme="minorHAnsi"/>
        </w:rPr>
      </w:pPr>
      <w:r>
        <w:rPr>
          <w:rFonts w:asciiTheme="minorHAnsi" w:hAnsiTheme="minorHAnsi"/>
        </w:rPr>
        <w:t xml:space="preserve">V Bratislave   </w:t>
      </w:r>
      <w:sdt>
        <w:sdtPr>
          <w:rPr>
            <w:rFonts w:asciiTheme="minorHAnsi" w:hAnsiTheme="minorHAnsi" w:cstheme="minorHAnsi"/>
            <w:color w:val="FF0000"/>
          </w:rPr>
          <w:id w:val="-818959593"/>
          <w:date w:fullDate="2019-02-19T00:00:00Z">
            <w:dateFormat w:val="d. M. yyyy"/>
            <w:lid w:val="sk-SK"/>
            <w:storeMappedDataAs w:val="dateTime"/>
            <w:calendar w:val="gregorian"/>
          </w:date>
        </w:sdtPr>
        <w:sdtEndPr/>
        <w:sdtContent>
          <w:r w:rsidR="0064527F">
            <w:rPr>
              <w:rFonts w:asciiTheme="minorHAnsi" w:hAnsiTheme="minorHAnsi" w:cstheme="minorHAnsi"/>
              <w:color w:val="FF0000"/>
            </w:rPr>
            <w:t>19. 2. 2019</w:t>
          </w:r>
        </w:sdtContent>
      </w:sdt>
      <w:r>
        <w:rPr>
          <w:rFonts w:asciiTheme="minorHAnsi" w:hAnsiTheme="minorHAnsi"/>
        </w:rPr>
        <w:t xml:space="preserve">        </w:t>
      </w:r>
    </w:p>
    <w:p w:rsidR="00AE15C6" w:rsidRDefault="007C2CF9">
      <w:pPr>
        <w:pStyle w:val="Zarkazkladnhotextu21"/>
        <w:rPr>
          <w:rFonts w:asciiTheme="minorHAnsi" w:hAnsiTheme="minorHAnsi"/>
          <w:sz w:val="24"/>
          <w:szCs w:val="24"/>
        </w:rPr>
      </w:pPr>
      <w:r>
        <w:rPr>
          <w:rFonts w:asciiTheme="minorHAnsi" w:hAnsiTheme="minorHAnsi"/>
          <w:sz w:val="24"/>
          <w:szCs w:val="24"/>
        </w:rPr>
        <w:t xml:space="preserve">                                               </w:t>
      </w:r>
    </w:p>
    <w:p w:rsidR="00AE15C6" w:rsidRDefault="00AE15C6">
      <w:pPr>
        <w:tabs>
          <w:tab w:val="left" w:pos="5685"/>
        </w:tabs>
        <w:ind w:left="6372"/>
        <w:rPr>
          <w:rFonts w:asciiTheme="minorHAnsi" w:eastAsia="Arial Unicode MS" w:hAnsiTheme="minorHAnsi"/>
          <w:b/>
          <w:bCs/>
        </w:rPr>
      </w:pPr>
    </w:p>
    <w:p w:rsidR="00AE15C6" w:rsidRDefault="00AE15C6">
      <w:pPr>
        <w:tabs>
          <w:tab w:val="left" w:pos="5685"/>
        </w:tabs>
        <w:ind w:left="6372"/>
        <w:rPr>
          <w:rFonts w:asciiTheme="minorHAnsi" w:eastAsia="Arial Unicode MS" w:hAnsiTheme="minorHAnsi"/>
          <w:b/>
          <w:bCs/>
        </w:rPr>
      </w:pPr>
    </w:p>
    <w:p w:rsidR="00AE15C6" w:rsidRDefault="007C2CF9">
      <w:pPr>
        <w:tabs>
          <w:tab w:val="decimal" w:pos="0"/>
          <w:tab w:val="center" w:pos="7371"/>
        </w:tabs>
        <w:rPr>
          <w:rFonts w:asciiTheme="minorHAnsi" w:hAnsiTheme="minorHAnsi"/>
          <w:b/>
          <w:color w:val="000000"/>
        </w:rPr>
      </w:pPr>
      <w:r>
        <w:rPr>
          <w:rFonts w:asciiTheme="minorHAnsi" w:hAnsiTheme="minorHAnsi"/>
          <w:color w:val="000000"/>
        </w:rPr>
        <w:tab/>
      </w:r>
      <w:r>
        <w:rPr>
          <w:rFonts w:asciiTheme="minorHAnsi" w:hAnsiTheme="minorHAnsi"/>
          <w:b/>
          <w:color w:val="000000"/>
        </w:rPr>
        <w:t xml:space="preserve">Ing. Juraj Kožuch, PhD. </w:t>
      </w:r>
    </w:p>
    <w:p w:rsidR="00AE15C6" w:rsidRDefault="007C2CF9">
      <w:pPr>
        <w:tabs>
          <w:tab w:val="decimal" w:pos="0"/>
          <w:tab w:val="center" w:pos="7371"/>
        </w:tabs>
        <w:rPr>
          <w:rFonts w:asciiTheme="minorHAnsi" w:hAnsiTheme="minorHAnsi"/>
          <w:color w:val="000000"/>
        </w:rPr>
      </w:pPr>
      <w:r>
        <w:rPr>
          <w:rFonts w:asciiTheme="minorHAnsi" w:hAnsiTheme="minorHAnsi"/>
          <w:color w:val="000000"/>
        </w:rPr>
        <w:tab/>
        <w:t>generálny riaditeľ</w:t>
      </w:r>
    </w:p>
    <w:p w:rsidR="00AE15C6" w:rsidRDefault="00AE15C6">
      <w:pPr>
        <w:tabs>
          <w:tab w:val="left" w:pos="5685"/>
        </w:tabs>
        <w:ind w:left="6372" w:hanging="276"/>
        <w:rPr>
          <w:rFonts w:asciiTheme="minorHAnsi" w:hAnsiTheme="minorHAnsi"/>
        </w:rPr>
      </w:pPr>
    </w:p>
    <w:p w:rsidR="00AE15C6" w:rsidRDefault="00AE15C6">
      <w:pPr>
        <w:tabs>
          <w:tab w:val="left" w:pos="5685"/>
        </w:tabs>
        <w:ind w:left="6372" w:hanging="276"/>
      </w:pPr>
    </w:p>
    <w:p w:rsidR="009C607A" w:rsidRDefault="009C607A" w:rsidP="009C607A">
      <w:pPr>
        <w:tabs>
          <w:tab w:val="left" w:pos="5685"/>
        </w:tabs>
      </w:pPr>
    </w:p>
    <w:tbl>
      <w:tblPr>
        <w:tblpPr w:leftFromText="141" w:rightFromText="141" w:bottomFromText="200" w:vertAnchor="text" w:horzAnchor="margin" w:tblpY="280"/>
        <w:tblW w:w="9265" w:type="dxa"/>
        <w:tblCellMar>
          <w:left w:w="70" w:type="dxa"/>
          <w:right w:w="70" w:type="dxa"/>
        </w:tblCellMar>
        <w:tblLook w:val="04A0" w:firstRow="1" w:lastRow="0" w:firstColumn="1" w:lastColumn="0" w:noHBand="0" w:noVBand="1"/>
      </w:tblPr>
      <w:tblGrid>
        <w:gridCol w:w="697"/>
        <w:gridCol w:w="1783"/>
        <w:gridCol w:w="3969"/>
        <w:gridCol w:w="1626"/>
        <w:gridCol w:w="1190"/>
      </w:tblGrid>
      <w:tr w:rsidR="00046934" w:rsidRPr="00CD4E15" w:rsidTr="00BA6E7B">
        <w:trPr>
          <w:trHeight w:val="416"/>
        </w:trPr>
        <w:tc>
          <w:tcPr>
            <w:tcW w:w="697" w:type="dxa"/>
            <w:tcBorders>
              <w:top w:val="single" w:sz="4" w:space="0" w:color="auto"/>
              <w:left w:val="single" w:sz="4" w:space="0" w:color="auto"/>
              <w:bottom w:val="single" w:sz="4" w:space="0" w:color="auto"/>
              <w:right w:val="single" w:sz="4" w:space="0" w:color="auto"/>
            </w:tcBorders>
            <w:vAlign w:val="center"/>
            <w:hideMark/>
          </w:tcPr>
          <w:p w:rsidR="00046934" w:rsidRPr="00CD4E15" w:rsidRDefault="00046934" w:rsidP="00BA6E7B">
            <w:pPr>
              <w:spacing w:line="276" w:lineRule="auto"/>
              <w:jc w:val="center"/>
              <w:rPr>
                <w:rFonts w:asciiTheme="minorHAnsi" w:hAnsiTheme="minorHAnsi"/>
                <w:b/>
                <w:sz w:val="22"/>
                <w:szCs w:val="22"/>
              </w:rPr>
            </w:pPr>
            <w:r w:rsidRPr="00CD4E15">
              <w:rPr>
                <w:rFonts w:asciiTheme="minorHAnsi" w:hAnsiTheme="minorHAnsi"/>
                <w:b/>
                <w:sz w:val="22"/>
                <w:szCs w:val="22"/>
              </w:rPr>
              <w:t>Č.o.ú.</w:t>
            </w:r>
          </w:p>
        </w:tc>
        <w:tc>
          <w:tcPr>
            <w:tcW w:w="1783" w:type="dxa"/>
            <w:tcBorders>
              <w:top w:val="single" w:sz="4" w:space="0" w:color="auto"/>
              <w:left w:val="single" w:sz="4" w:space="0" w:color="auto"/>
              <w:bottom w:val="single" w:sz="4" w:space="0" w:color="auto"/>
              <w:right w:val="single" w:sz="4" w:space="0" w:color="auto"/>
            </w:tcBorders>
            <w:noWrap/>
            <w:vAlign w:val="center"/>
            <w:hideMark/>
          </w:tcPr>
          <w:p w:rsidR="00046934" w:rsidRPr="00CD4E15" w:rsidRDefault="00046934" w:rsidP="00BA6E7B">
            <w:pPr>
              <w:spacing w:line="276" w:lineRule="auto"/>
              <w:jc w:val="center"/>
              <w:rPr>
                <w:rFonts w:asciiTheme="minorHAnsi" w:hAnsiTheme="minorHAnsi"/>
                <w:b/>
                <w:sz w:val="22"/>
                <w:szCs w:val="22"/>
              </w:rPr>
            </w:pPr>
            <w:r w:rsidRPr="00CD4E15">
              <w:rPr>
                <w:rFonts w:asciiTheme="minorHAnsi" w:hAnsiTheme="minorHAnsi"/>
                <w:b/>
                <w:sz w:val="22"/>
                <w:szCs w:val="22"/>
              </w:rPr>
              <w:t>Funkcia</w:t>
            </w:r>
          </w:p>
        </w:tc>
        <w:tc>
          <w:tcPr>
            <w:tcW w:w="3969" w:type="dxa"/>
            <w:tcBorders>
              <w:top w:val="single" w:sz="4" w:space="0" w:color="auto"/>
              <w:left w:val="nil"/>
              <w:bottom w:val="single" w:sz="4" w:space="0" w:color="auto"/>
              <w:right w:val="single" w:sz="4" w:space="0" w:color="auto"/>
            </w:tcBorders>
            <w:noWrap/>
            <w:vAlign w:val="center"/>
            <w:hideMark/>
          </w:tcPr>
          <w:p w:rsidR="00046934" w:rsidRPr="00CD4E15" w:rsidRDefault="00046934" w:rsidP="00BA6E7B">
            <w:pPr>
              <w:spacing w:line="276" w:lineRule="auto"/>
              <w:jc w:val="center"/>
              <w:rPr>
                <w:rFonts w:asciiTheme="minorHAnsi" w:hAnsiTheme="minorHAnsi"/>
                <w:b/>
                <w:sz w:val="22"/>
                <w:szCs w:val="22"/>
              </w:rPr>
            </w:pPr>
            <w:r w:rsidRPr="00CD4E15">
              <w:rPr>
                <w:rFonts w:asciiTheme="minorHAnsi" w:hAnsiTheme="minorHAnsi"/>
                <w:b/>
                <w:sz w:val="22"/>
                <w:szCs w:val="22"/>
              </w:rPr>
              <w:t>Meno a priezvisko</w:t>
            </w:r>
          </w:p>
        </w:tc>
        <w:tc>
          <w:tcPr>
            <w:tcW w:w="1626" w:type="dxa"/>
            <w:tcBorders>
              <w:top w:val="single" w:sz="4" w:space="0" w:color="auto"/>
              <w:left w:val="nil"/>
              <w:bottom w:val="single" w:sz="4" w:space="0" w:color="auto"/>
              <w:right w:val="single" w:sz="4" w:space="0" w:color="auto"/>
            </w:tcBorders>
            <w:noWrap/>
            <w:vAlign w:val="center"/>
            <w:hideMark/>
          </w:tcPr>
          <w:p w:rsidR="00046934" w:rsidRPr="00CD4E15" w:rsidRDefault="00046934" w:rsidP="00BA6E7B">
            <w:pPr>
              <w:spacing w:line="276" w:lineRule="auto"/>
              <w:jc w:val="center"/>
              <w:rPr>
                <w:rFonts w:asciiTheme="minorHAnsi" w:hAnsiTheme="minorHAnsi"/>
                <w:b/>
                <w:sz w:val="22"/>
                <w:szCs w:val="22"/>
              </w:rPr>
            </w:pPr>
            <w:r w:rsidRPr="00CD4E15">
              <w:rPr>
                <w:rFonts w:asciiTheme="minorHAnsi" w:hAnsiTheme="minorHAnsi"/>
                <w:b/>
                <w:sz w:val="22"/>
                <w:szCs w:val="22"/>
              </w:rPr>
              <w:t>Parafa</w:t>
            </w:r>
          </w:p>
        </w:tc>
        <w:tc>
          <w:tcPr>
            <w:tcW w:w="1190" w:type="dxa"/>
            <w:tcBorders>
              <w:top w:val="single" w:sz="4" w:space="0" w:color="auto"/>
              <w:left w:val="nil"/>
              <w:bottom w:val="single" w:sz="4" w:space="0" w:color="auto"/>
              <w:right w:val="single" w:sz="4" w:space="0" w:color="auto"/>
            </w:tcBorders>
            <w:noWrap/>
            <w:vAlign w:val="center"/>
            <w:hideMark/>
          </w:tcPr>
          <w:p w:rsidR="00046934" w:rsidRPr="00CD4E15" w:rsidRDefault="00046934" w:rsidP="00BA6E7B">
            <w:pPr>
              <w:spacing w:line="276" w:lineRule="auto"/>
              <w:jc w:val="center"/>
              <w:rPr>
                <w:rFonts w:asciiTheme="minorHAnsi" w:hAnsiTheme="minorHAnsi"/>
                <w:b/>
                <w:sz w:val="22"/>
                <w:szCs w:val="22"/>
              </w:rPr>
            </w:pPr>
            <w:r w:rsidRPr="00CD4E15">
              <w:rPr>
                <w:rFonts w:asciiTheme="minorHAnsi" w:hAnsiTheme="minorHAnsi"/>
                <w:b/>
                <w:sz w:val="22"/>
                <w:szCs w:val="22"/>
              </w:rPr>
              <w:t>Dátum</w:t>
            </w:r>
          </w:p>
        </w:tc>
      </w:tr>
      <w:tr w:rsidR="00046934" w:rsidRPr="00CD4E15" w:rsidTr="00BA6E7B">
        <w:trPr>
          <w:trHeight w:val="360"/>
        </w:trPr>
        <w:tc>
          <w:tcPr>
            <w:tcW w:w="697" w:type="dxa"/>
            <w:tcBorders>
              <w:top w:val="nil"/>
              <w:left w:val="single" w:sz="4" w:space="0" w:color="auto"/>
              <w:bottom w:val="single" w:sz="4" w:space="0" w:color="auto"/>
              <w:right w:val="single" w:sz="4" w:space="0" w:color="auto"/>
            </w:tcBorders>
            <w:vAlign w:val="center"/>
          </w:tcPr>
          <w:p w:rsidR="00046934" w:rsidRPr="00CD4E15" w:rsidRDefault="00046934" w:rsidP="00BA6E7B">
            <w:pPr>
              <w:spacing w:line="276" w:lineRule="auto"/>
              <w:jc w:val="center"/>
              <w:rPr>
                <w:rFonts w:asciiTheme="minorHAnsi" w:hAnsiTheme="minorHAnsi"/>
                <w:sz w:val="22"/>
                <w:szCs w:val="22"/>
              </w:rPr>
            </w:pPr>
            <w:r w:rsidRPr="00CD4E15">
              <w:rPr>
                <w:rFonts w:asciiTheme="minorHAnsi" w:hAnsiTheme="minorHAnsi"/>
                <w:sz w:val="22"/>
                <w:szCs w:val="22"/>
              </w:rPr>
              <w:t>410</w:t>
            </w:r>
          </w:p>
        </w:tc>
        <w:tc>
          <w:tcPr>
            <w:tcW w:w="1783" w:type="dxa"/>
            <w:tcBorders>
              <w:top w:val="nil"/>
              <w:left w:val="single" w:sz="4" w:space="0" w:color="auto"/>
              <w:bottom w:val="single" w:sz="4" w:space="0" w:color="auto"/>
              <w:right w:val="single" w:sz="4" w:space="0" w:color="auto"/>
            </w:tcBorders>
            <w:noWrap/>
            <w:vAlign w:val="center"/>
          </w:tcPr>
          <w:p w:rsidR="00046934" w:rsidRPr="00CD4E15" w:rsidRDefault="00046934" w:rsidP="00BA6E7B">
            <w:pPr>
              <w:spacing w:line="276" w:lineRule="auto"/>
              <w:rPr>
                <w:rFonts w:asciiTheme="minorHAnsi" w:hAnsiTheme="minorHAnsi"/>
                <w:sz w:val="22"/>
                <w:szCs w:val="22"/>
              </w:rPr>
            </w:pPr>
            <w:r w:rsidRPr="00CD4E15">
              <w:rPr>
                <w:rFonts w:asciiTheme="minorHAnsi" w:hAnsiTheme="minorHAnsi"/>
                <w:sz w:val="22"/>
                <w:szCs w:val="22"/>
              </w:rPr>
              <w:t>spracovateľ</w:t>
            </w:r>
          </w:p>
        </w:tc>
        <w:tc>
          <w:tcPr>
            <w:tcW w:w="3969" w:type="dxa"/>
            <w:tcBorders>
              <w:top w:val="nil"/>
              <w:left w:val="nil"/>
              <w:bottom w:val="single" w:sz="4" w:space="0" w:color="auto"/>
              <w:right w:val="single" w:sz="4" w:space="0" w:color="auto"/>
            </w:tcBorders>
            <w:noWrap/>
            <w:vAlign w:val="center"/>
          </w:tcPr>
          <w:p w:rsidR="00046934" w:rsidRPr="00CD4E15" w:rsidRDefault="00046934" w:rsidP="00BA6E7B">
            <w:pPr>
              <w:spacing w:line="276" w:lineRule="auto"/>
              <w:rPr>
                <w:rFonts w:asciiTheme="minorHAnsi" w:hAnsiTheme="minorHAnsi"/>
                <w:sz w:val="22"/>
                <w:szCs w:val="22"/>
              </w:rPr>
            </w:pPr>
            <w:r>
              <w:rPr>
                <w:rFonts w:asciiTheme="minorHAnsi" w:hAnsiTheme="minorHAnsi"/>
                <w:sz w:val="22"/>
                <w:szCs w:val="22"/>
              </w:rPr>
              <w:t>Emil Kužma</w:t>
            </w:r>
          </w:p>
        </w:tc>
        <w:tc>
          <w:tcPr>
            <w:tcW w:w="1626" w:type="dxa"/>
            <w:tcBorders>
              <w:top w:val="nil"/>
              <w:left w:val="nil"/>
              <w:bottom w:val="single" w:sz="4" w:space="0" w:color="auto"/>
              <w:right w:val="single" w:sz="4" w:space="0" w:color="auto"/>
            </w:tcBorders>
            <w:noWrap/>
            <w:vAlign w:val="bottom"/>
          </w:tcPr>
          <w:p w:rsidR="00046934" w:rsidRPr="00CD4E15" w:rsidRDefault="00046934" w:rsidP="00BA6E7B">
            <w:pPr>
              <w:spacing w:line="276" w:lineRule="auto"/>
              <w:rPr>
                <w:rFonts w:asciiTheme="minorHAnsi" w:hAnsiTheme="minorHAnsi"/>
                <w:sz w:val="22"/>
                <w:szCs w:val="22"/>
              </w:rPr>
            </w:pPr>
          </w:p>
        </w:tc>
        <w:tc>
          <w:tcPr>
            <w:tcW w:w="1190" w:type="dxa"/>
            <w:tcBorders>
              <w:top w:val="nil"/>
              <w:left w:val="nil"/>
              <w:bottom w:val="single" w:sz="4" w:space="0" w:color="auto"/>
              <w:right w:val="single" w:sz="4" w:space="0" w:color="auto"/>
            </w:tcBorders>
            <w:noWrap/>
            <w:vAlign w:val="bottom"/>
          </w:tcPr>
          <w:p w:rsidR="00046934" w:rsidRPr="00CD4E15" w:rsidRDefault="00046934" w:rsidP="00BA6E7B">
            <w:pPr>
              <w:spacing w:line="276" w:lineRule="auto"/>
              <w:jc w:val="center"/>
              <w:rPr>
                <w:rFonts w:asciiTheme="minorHAnsi" w:hAnsiTheme="minorHAnsi"/>
                <w:sz w:val="22"/>
                <w:szCs w:val="22"/>
              </w:rPr>
            </w:pPr>
            <w:r>
              <w:rPr>
                <w:rFonts w:asciiTheme="minorHAnsi" w:hAnsiTheme="minorHAnsi"/>
                <w:sz w:val="22"/>
                <w:szCs w:val="22"/>
              </w:rPr>
              <w:t>19.2.2019</w:t>
            </w:r>
          </w:p>
        </w:tc>
      </w:tr>
      <w:tr w:rsidR="00046934" w:rsidRPr="00CD4E15" w:rsidTr="00BA6E7B">
        <w:trPr>
          <w:trHeight w:val="360"/>
        </w:trPr>
        <w:tc>
          <w:tcPr>
            <w:tcW w:w="697" w:type="dxa"/>
            <w:tcBorders>
              <w:top w:val="single" w:sz="4" w:space="0" w:color="auto"/>
              <w:left w:val="single" w:sz="4" w:space="0" w:color="auto"/>
              <w:bottom w:val="single" w:sz="4" w:space="0" w:color="auto"/>
              <w:right w:val="single" w:sz="4" w:space="0" w:color="auto"/>
            </w:tcBorders>
            <w:vAlign w:val="center"/>
          </w:tcPr>
          <w:p w:rsidR="00046934" w:rsidRPr="00CD4E15" w:rsidRDefault="00046934" w:rsidP="00BA6E7B">
            <w:pPr>
              <w:spacing w:line="276" w:lineRule="auto"/>
              <w:jc w:val="center"/>
              <w:rPr>
                <w:rFonts w:asciiTheme="minorHAnsi" w:hAnsiTheme="minorHAnsi"/>
                <w:sz w:val="22"/>
                <w:szCs w:val="22"/>
              </w:rPr>
            </w:pPr>
            <w:r w:rsidRPr="00CD4E15">
              <w:rPr>
                <w:rFonts w:asciiTheme="minorHAnsi" w:hAnsiTheme="minorHAnsi"/>
                <w:sz w:val="22"/>
                <w:szCs w:val="22"/>
              </w:rPr>
              <w:t>410</w:t>
            </w:r>
          </w:p>
        </w:tc>
        <w:tc>
          <w:tcPr>
            <w:tcW w:w="1783" w:type="dxa"/>
            <w:tcBorders>
              <w:top w:val="single" w:sz="4" w:space="0" w:color="auto"/>
              <w:left w:val="single" w:sz="4" w:space="0" w:color="auto"/>
              <w:bottom w:val="single" w:sz="4" w:space="0" w:color="auto"/>
              <w:right w:val="single" w:sz="4" w:space="0" w:color="auto"/>
            </w:tcBorders>
            <w:noWrap/>
            <w:vAlign w:val="center"/>
          </w:tcPr>
          <w:p w:rsidR="00046934" w:rsidRPr="00CD4E15" w:rsidRDefault="00046934" w:rsidP="00BA6E7B">
            <w:pPr>
              <w:spacing w:line="276" w:lineRule="auto"/>
              <w:rPr>
                <w:rFonts w:asciiTheme="minorHAnsi" w:hAnsiTheme="minorHAnsi"/>
                <w:sz w:val="22"/>
                <w:szCs w:val="22"/>
              </w:rPr>
            </w:pPr>
            <w:r>
              <w:rPr>
                <w:rFonts w:asciiTheme="minorHAnsi" w:hAnsiTheme="minorHAnsi"/>
                <w:sz w:val="22"/>
                <w:szCs w:val="22"/>
              </w:rPr>
              <w:t>vedúci</w:t>
            </w:r>
            <w:r w:rsidRPr="00CD4E15">
              <w:rPr>
                <w:rFonts w:asciiTheme="minorHAnsi" w:hAnsiTheme="minorHAnsi"/>
                <w:sz w:val="22"/>
                <w:szCs w:val="22"/>
              </w:rPr>
              <w:t xml:space="preserve"> oddelenia</w:t>
            </w:r>
          </w:p>
        </w:tc>
        <w:tc>
          <w:tcPr>
            <w:tcW w:w="3969" w:type="dxa"/>
            <w:tcBorders>
              <w:top w:val="single" w:sz="4" w:space="0" w:color="auto"/>
              <w:left w:val="nil"/>
              <w:bottom w:val="single" w:sz="4" w:space="0" w:color="auto"/>
              <w:right w:val="single" w:sz="4" w:space="0" w:color="auto"/>
            </w:tcBorders>
            <w:noWrap/>
            <w:vAlign w:val="center"/>
          </w:tcPr>
          <w:p w:rsidR="00046934" w:rsidRPr="00CD4E15" w:rsidRDefault="00046934" w:rsidP="00BA6E7B">
            <w:pPr>
              <w:spacing w:line="276" w:lineRule="auto"/>
              <w:rPr>
                <w:rFonts w:asciiTheme="minorHAnsi" w:hAnsiTheme="minorHAnsi"/>
                <w:sz w:val="22"/>
                <w:szCs w:val="22"/>
              </w:rPr>
            </w:pPr>
            <w:r>
              <w:rPr>
                <w:rFonts w:asciiTheme="minorHAnsi" w:hAnsiTheme="minorHAnsi"/>
                <w:sz w:val="22"/>
                <w:szCs w:val="22"/>
              </w:rPr>
              <w:t>Ing. Peter Berák</w:t>
            </w:r>
          </w:p>
        </w:tc>
        <w:tc>
          <w:tcPr>
            <w:tcW w:w="1626" w:type="dxa"/>
            <w:tcBorders>
              <w:top w:val="single" w:sz="4" w:space="0" w:color="auto"/>
              <w:left w:val="nil"/>
              <w:bottom w:val="single" w:sz="4" w:space="0" w:color="auto"/>
              <w:right w:val="single" w:sz="4" w:space="0" w:color="auto"/>
            </w:tcBorders>
            <w:noWrap/>
            <w:vAlign w:val="bottom"/>
            <w:hideMark/>
          </w:tcPr>
          <w:p w:rsidR="00046934" w:rsidRPr="00CD4E15" w:rsidRDefault="00046934" w:rsidP="00BA6E7B">
            <w:pPr>
              <w:spacing w:line="276" w:lineRule="auto"/>
              <w:rPr>
                <w:rFonts w:asciiTheme="minorHAnsi" w:hAnsiTheme="minorHAnsi"/>
                <w:sz w:val="22"/>
                <w:szCs w:val="22"/>
              </w:rPr>
            </w:pPr>
            <w:r w:rsidRPr="00CD4E15">
              <w:rPr>
                <w:rFonts w:asciiTheme="minorHAnsi" w:hAnsiTheme="minorHAnsi"/>
                <w:sz w:val="22"/>
                <w:szCs w:val="22"/>
              </w:rPr>
              <w:t> </w:t>
            </w:r>
          </w:p>
        </w:tc>
        <w:tc>
          <w:tcPr>
            <w:tcW w:w="1190" w:type="dxa"/>
            <w:tcBorders>
              <w:top w:val="single" w:sz="4" w:space="0" w:color="auto"/>
              <w:left w:val="nil"/>
              <w:bottom w:val="single" w:sz="4" w:space="0" w:color="auto"/>
              <w:right w:val="single" w:sz="4" w:space="0" w:color="auto"/>
            </w:tcBorders>
            <w:noWrap/>
            <w:vAlign w:val="bottom"/>
            <w:hideMark/>
          </w:tcPr>
          <w:p w:rsidR="00046934" w:rsidRPr="00CD4E15" w:rsidRDefault="00046934" w:rsidP="00BA6E7B">
            <w:pPr>
              <w:spacing w:line="276" w:lineRule="auto"/>
              <w:jc w:val="center"/>
              <w:rPr>
                <w:rFonts w:asciiTheme="minorHAnsi" w:hAnsiTheme="minorHAnsi"/>
                <w:sz w:val="22"/>
                <w:szCs w:val="22"/>
              </w:rPr>
            </w:pPr>
          </w:p>
        </w:tc>
      </w:tr>
      <w:tr w:rsidR="00046934" w:rsidRPr="00CD4E15" w:rsidTr="00BA6E7B">
        <w:trPr>
          <w:trHeight w:val="360"/>
        </w:trPr>
        <w:tc>
          <w:tcPr>
            <w:tcW w:w="697" w:type="dxa"/>
            <w:tcBorders>
              <w:top w:val="single" w:sz="4" w:space="0" w:color="auto"/>
              <w:left w:val="single" w:sz="4" w:space="0" w:color="auto"/>
              <w:bottom w:val="single" w:sz="4" w:space="0" w:color="auto"/>
              <w:right w:val="single" w:sz="4" w:space="0" w:color="auto"/>
            </w:tcBorders>
            <w:vAlign w:val="center"/>
          </w:tcPr>
          <w:p w:rsidR="00046934" w:rsidRPr="00CD4E15" w:rsidRDefault="00046934" w:rsidP="00BA6E7B">
            <w:pPr>
              <w:spacing w:line="276" w:lineRule="auto"/>
              <w:jc w:val="center"/>
              <w:rPr>
                <w:rFonts w:asciiTheme="minorHAnsi" w:hAnsiTheme="minorHAnsi"/>
                <w:sz w:val="22"/>
                <w:szCs w:val="22"/>
              </w:rPr>
            </w:pPr>
            <w:r w:rsidRPr="00CD4E15">
              <w:rPr>
                <w:rFonts w:asciiTheme="minorHAnsi" w:hAnsiTheme="minorHAnsi"/>
                <w:sz w:val="22"/>
                <w:szCs w:val="22"/>
              </w:rPr>
              <w:t>400</w:t>
            </w:r>
          </w:p>
        </w:tc>
        <w:tc>
          <w:tcPr>
            <w:tcW w:w="1783" w:type="dxa"/>
            <w:tcBorders>
              <w:top w:val="single" w:sz="4" w:space="0" w:color="auto"/>
              <w:left w:val="single" w:sz="4" w:space="0" w:color="auto"/>
              <w:bottom w:val="single" w:sz="4" w:space="0" w:color="auto"/>
              <w:right w:val="single" w:sz="4" w:space="0" w:color="auto"/>
            </w:tcBorders>
            <w:noWrap/>
            <w:vAlign w:val="center"/>
          </w:tcPr>
          <w:p w:rsidR="00046934" w:rsidRPr="00CD4E15" w:rsidRDefault="00046934" w:rsidP="00BA6E7B">
            <w:pPr>
              <w:rPr>
                <w:rFonts w:asciiTheme="minorHAnsi" w:hAnsiTheme="minorHAnsi"/>
                <w:sz w:val="22"/>
                <w:szCs w:val="22"/>
              </w:rPr>
            </w:pPr>
            <w:r w:rsidRPr="00CD4E15">
              <w:rPr>
                <w:rFonts w:asciiTheme="minorHAnsi" w:hAnsiTheme="minorHAnsi"/>
                <w:sz w:val="22"/>
                <w:szCs w:val="22"/>
              </w:rPr>
              <w:t>riaditeľka sekcie</w:t>
            </w:r>
          </w:p>
        </w:tc>
        <w:tc>
          <w:tcPr>
            <w:tcW w:w="3969" w:type="dxa"/>
            <w:tcBorders>
              <w:top w:val="single" w:sz="4" w:space="0" w:color="auto"/>
              <w:left w:val="nil"/>
              <w:bottom w:val="single" w:sz="4" w:space="0" w:color="auto"/>
              <w:right w:val="single" w:sz="4" w:space="0" w:color="auto"/>
            </w:tcBorders>
            <w:noWrap/>
            <w:vAlign w:val="center"/>
          </w:tcPr>
          <w:p w:rsidR="00046934" w:rsidRPr="00CD4E15" w:rsidRDefault="00046934" w:rsidP="00BA6E7B">
            <w:pPr>
              <w:spacing w:line="276" w:lineRule="auto"/>
              <w:rPr>
                <w:rFonts w:asciiTheme="minorHAnsi" w:hAnsiTheme="minorHAnsi"/>
                <w:bCs/>
                <w:sz w:val="22"/>
                <w:szCs w:val="22"/>
              </w:rPr>
            </w:pPr>
            <w:r w:rsidRPr="00CD4E15">
              <w:rPr>
                <w:rFonts w:asciiTheme="minorHAnsi" w:hAnsiTheme="minorHAnsi"/>
                <w:bCs/>
                <w:sz w:val="22"/>
                <w:szCs w:val="22"/>
              </w:rPr>
              <w:t>Ing. Lucia Szlamenková</w:t>
            </w:r>
          </w:p>
        </w:tc>
        <w:tc>
          <w:tcPr>
            <w:tcW w:w="1626" w:type="dxa"/>
            <w:tcBorders>
              <w:top w:val="single" w:sz="4" w:space="0" w:color="auto"/>
              <w:left w:val="nil"/>
              <w:bottom w:val="single" w:sz="4" w:space="0" w:color="auto"/>
              <w:right w:val="single" w:sz="4" w:space="0" w:color="auto"/>
            </w:tcBorders>
            <w:noWrap/>
            <w:vAlign w:val="bottom"/>
          </w:tcPr>
          <w:p w:rsidR="00046934" w:rsidRPr="00CD4E15" w:rsidRDefault="00046934" w:rsidP="00BA6E7B">
            <w:pPr>
              <w:spacing w:line="276" w:lineRule="auto"/>
              <w:rPr>
                <w:rFonts w:asciiTheme="minorHAnsi" w:hAnsiTheme="minorHAnsi"/>
                <w:sz w:val="22"/>
                <w:szCs w:val="22"/>
              </w:rPr>
            </w:pPr>
          </w:p>
        </w:tc>
        <w:tc>
          <w:tcPr>
            <w:tcW w:w="1190" w:type="dxa"/>
            <w:tcBorders>
              <w:top w:val="single" w:sz="4" w:space="0" w:color="auto"/>
              <w:left w:val="nil"/>
              <w:bottom w:val="single" w:sz="4" w:space="0" w:color="auto"/>
              <w:right w:val="single" w:sz="4" w:space="0" w:color="auto"/>
            </w:tcBorders>
            <w:noWrap/>
            <w:vAlign w:val="bottom"/>
          </w:tcPr>
          <w:p w:rsidR="00046934" w:rsidRPr="00CD4E15" w:rsidRDefault="00046934" w:rsidP="00BA6E7B">
            <w:pPr>
              <w:spacing w:line="276" w:lineRule="auto"/>
              <w:jc w:val="center"/>
              <w:rPr>
                <w:rFonts w:asciiTheme="minorHAnsi" w:hAnsiTheme="minorHAnsi"/>
                <w:sz w:val="22"/>
                <w:szCs w:val="22"/>
              </w:rPr>
            </w:pPr>
          </w:p>
        </w:tc>
      </w:tr>
    </w:tbl>
    <w:p w:rsidR="00712DC6" w:rsidRDefault="00712DC6">
      <w:pPr>
        <w:tabs>
          <w:tab w:val="left" w:pos="5685"/>
        </w:tabs>
        <w:ind w:left="6372" w:hanging="276"/>
      </w:pPr>
    </w:p>
    <w:sectPr w:rsidR="00712DC6">
      <w:footerReference w:type="default" r:id="rId14"/>
      <w:pgSz w:w="11906" w:h="16838"/>
      <w:pgMar w:top="1417" w:right="1417" w:bottom="1417" w:left="1417" w:header="0" w:footer="708" w:gutter="0"/>
      <w:cols w:space="708"/>
      <w:formProt w:val="0"/>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6A3D" w:rsidRDefault="00E46A3D">
      <w:r>
        <w:separator/>
      </w:r>
    </w:p>
  </w:endnote>
  <w:endnote w:type="continuationSeparator" w:id="0">
    <w:p w:rsidR="00E46A3D" w:rsidRDefault="00E46A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
    <w:altName w:val="Times New Roman"/>
    <w:panose1 w:val="00000000000000000000"/>
    <w:charset w:val="EE"/>
    <w:family w:val="auto"/>
    <w:notTrueType/>
    <w:pitch w:val="default"/>
    <w:sig w:usb0="00000007" w:usb1="00000000" w:usb2="00000000" w:usb3="00000000" w:csb0="00000003"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sdtContent>
      <w:p w:rsidR="00AE15C6" w:rsidRDefault="007C2CF9">
        <w:pPr>
          <w:pStyle w:val="Pta"/>
          <w:jc w:val="right"/>
        </w:pPr>
        <w:r>
          <w:rPr>
            <w:rFonts w:asciiTheme="minorHAnsi" w:hAnsiTheme="minorHAnsi"/>
            <w:sz w:val="20"/>
          </w:rPr>
          <w:fldChar w:fldCharType="begin"/>
        </w:r>
        <w:r>
          <w:instrText>PAGE</w:instrText>
        </w:r>
        <w:r>
          <w:fldChar w:fldCharType="separate"/>
        </w:r>
        <w:r w:rsidR="00E20FB4">
          <w:rPr>
            <w:noProof/>
          </w:rPr>
          <w:t>4</w:t>
        </w:r>
        <w:r>
          <w:fldChar w:fldCharType="end"/>
        </w:r>
      </w:p>
    </w:sdtContent>
  </w:sdt>
  <w:p w:rsidR="00AE15C6" w:rsidRDefault="00AE15C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6A3D" w:rsidRDefault="00E46A3D">
      <w:r>
        <w:separator/>
      </w:r>
    </w:p>
  </w:footnote>
  <w:footnote w:type="continuationSeparator" w:id="0">
    <w:p w:rsidR="00E46A3D" w:rsidRDefault="00E46A3D">
      <w:r>
        <w:continuationSeparator/>
      </w:r>
    </w:p>
  </w:footnote>
  <w:footnote w:id="1">
    <w:p w:rsidR="00AE15C6" w:rsidRDefault="007C2CF9">
      <w:pPr>
        <w:pStyle w:val="Textpoznmkypodiarou"/>
      </w:pPr>
      <w:r>
        <w:rPr>
          <w:rStyle w:val="Odkaznapoznmkupodiarou"/>
          <w:rFonts w:asciiTheme="minorHAnsi" w:hAnsiTheme="minorHAnsi"/>
          <w:sz w:val="18"/>
          <w:szCs w:val="18"/>
        </w:rPr>
        <w:footnoteRef/>
      </w:r>
      <w:r>
        <w:rPr>
          <w:rStyle w:val="Odkaznapoznmkupodiarou"/>
          <w:rFonts w:asciiTheme="minorHAnsi" w:hAnsiTheme="minorHAnsi"/>
          <w:sz w:val="18"/>
          <w:szCs w:val="18"/>
        </w:rPr>
        <w:tab/>
      </w:r>
      <w:r>
        <w:rPr>
          <w:rFonts w:asciiTheme="minorHAnsi" w:hAnsiTheme="minorHAnsi"/>
          <w:sz w:val="18"/>
          <w:szCs w:val="18"/>
        </w:rPr>
        <w:t xml:space="preserve"> Zákon 91/2016 Z.z. o trestnej zodpovednosti právnických osôb.</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A5E6F"/>
    <w:multiLevelType w:val="multilevel"/>
    <w:tmpl w:val="3468F60E"/>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 w15:restartNumberingAfterBreak="0">
    <w:nsid w:val="09A94B7F"/>
    <w:multiLevelType w:val="multilevel"/>
    <w:tmpl w:val="1458F5AE"/>
    <w:lvl w:ilvl="0">
      <w:start w:val="1"/>
      <w:numFmt w:val="bullet"/>
      <w:lvlText w:val="–"/>
      <w:lvlJc w:val="left"/>
      <w:pPr>
        <w:ind w:left="786" w:hanging="360"/>
      </w:pPr>
      <w:rPr>
        <w:rFonts w:ascii="Times New Roman" w:hAnsi="Times New Roman" w:cs="Times New Roman"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cs="Wingdings" w:hint="default"/>
      </w:rPr>
    </w:lvl>
    <w:lvl w:ilvl="3">
      <w:start w:val="1"/>
      <w:numFmt w:val="bullet"/>
      <w:lvlText w:val=""/>
      <w:lvlJc w:val="left"/>
      <w:pPr>
        <w:ind w:left="2946" w:hanging="360"/>
      </w:pPr>
      <w:rPr>
        <w:rFonts w:ascii="Symbol" w:hAnsi="Symbol" w:cs="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cs="Wingdings" w:hint="default"/>
      </w:rPr>
    </w:lvl>
    <w:lvl w:ilvl="6">
      <w:start w:val="1"/>
      <w:numFmt w:val="bullet"/>
      <w:lvlText w:val=""/>
      <w:lvlJc w:val="left"/>
      <w:pPr>
        <w:ind w:left="5106" w:hanging="360"/>
      </w:pPr>
      <w:rPr>
        <w:rFonts w:ascii="Symbol" w:hAnsi="Symbol" w:cs="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cs="Wingdings" w:hint="default"/>
      </w:rPr>
    </w:lvl>
  </w:abstractNum>
  <w:abstractNum w:abstractNumId="2" w15:restartNumberingAfterBreak="0">
    <w:nsid w:val="0D1F1215"/>
    <w:multiLevelType w:val="multilevel"/>
    <w:tmpl w:val="DF80C07C"/>
    <w:lvl w:ilvl="0">
      <w:start w:val="1"/>
      <w:numFmt w:val="decimal"/>
      <w:lvlText w:val="%1."/>
      <w:lvlJc w:val="left"/>
      <w:pPr>
        <w:ind w:left="360" w:hanging="360"/>
      </w:pPr>
      <w:rPr>
        <w:color w:val="000000"/>
        <w:sz w:val="24"/>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3" w15:restartNumberingAfterBreak="0">
    <w:nsid w:val="0D67521F"/>
    <w:multiLevelType w:val="multilevel"/>
    <w:tmpl w:val="4F34F42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2770E40"/>
    <w:multiLevelType w:val="multilevel"/>
    <w:tmpl w:val="A9D4AD62"/>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5" w15:restartNumberingAfterBreak="0">
    <w:nsid w:val="14F64818"/>
    <w:multiLevelType w:val="multilevel"/>
    <w:tmpl w:val="1FCE9C64"/>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6" w15:restartNumberingAfterBreak="0">
    <w:nsid w:val="194D5D00"/>
    <w:multiLevelType w:val="multilevel"/>
    <w:tmpl w:val="3CFC1F84"/>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7" w15:restartNumberingAfterBreak="0">
    <w:nsid w:val="1BA961B2"/>
    <w:multiLevelType w:val="multilevel"/>
    <w:tmpl w:val="61CE6FB8"/>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 w15:restartNumberingAfterBreak="0">
    <w:nsid w:val="21782367"/>
    <w:multiLevelType w:val="multilevel"/>
    <w:tmpl w:val="B2EA5A16"/>
    <w:lvl w:ilvl="0">
      <w:start w:val="2"/>
      <w:numFmt w:val="decimal"/>
      <w:lvlText w:val="%1"/>
      <w:lvlJc w:val="left"/>
      <w:pPr>
        <w:ind w:left="480" w:hanging="480"/>
      </w:pPr>
    </w:lvl>
    <w:lvl w:ilvl="1">
      <w:start w:val="3"/>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9" w15:restartNumberingAfterBreak="0">
    <w:nsid w:val="235521C0"/>
    <w:multiLevelType w:val="multilevel"/>
    <w:tmpl w:val="E982C36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0" w15:restartNumberingAfterBreak="0">
    <w:nsid w:val="2DF70684"/>
    <w:multiLevelType w:val="multilevel"/>
    <w:tmpl w:val="53F2039A"/>
    <w:lvl w:ilvl="0">
      <w:start w:val="1"/>
      <w:numFmt w:val="decimal"/>
      <w:lvlText w:val="%1."/>
      <w:lvlJc w:val="left"/>
      <w:pPr>
        <w:ind w:left="360" w:hanging="36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1" w15:restartNumberingAfterBreak="0">
    <w:nsid w:val="32FE7D35"/>
    <w:multiLevelType w:val="multilevel"/>
    <w:tmpl w:val="4D6489A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12" w15:restartNumberingAfterBreak="0">
    <w:nsid w:val="38816C8C"/>
    <w:multiLevelType w:val="multilevel"/>
    <w:tmpl w:val="267009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8BF2384"/>
    <w:multiLevelType w:val="multilevel"/>
    <w:tmpl w:val="5D92069A"/>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14" w15:restartNumberingAfterBreak="0">
    <w:nsid w:val="3A771583"/>
    <w:multiLevelType w:val="multilevel"/>
    <w:tmpl w:val="CC4C17E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15" w15:restartNumberingAfterBreak="0">
    <w:nsid w:val="401775FF"/>
    <w:multiLevelType w:val="multilevel"/>
    <w:tmpl w:val="324620BA"/>
    <w:lvl w:ilvl="0">
      <w:start w:val="1"/>
      <w:numFmt w:val="decimal"/>
      <w:lvlText w:val="%1."/>
      <w:lvlJc w:val="left"/>
      <w:pPr>
        <w:ind w:left="1069" w:hanging="360"/>
      </w:pPr>
      <w:rPr>
        <w:b/>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6" w15:restartNumberingAfterBreak="0">
    <w:nsid w:val="41E7775C"/>
    <w:multiLevelType w:val="multilevel"/>
    <w:tmpl w:val="BDEED24E"/>
    <w:lvl w:ilvl="0">
      <w:start w:val="2"/>
      <w:numFmt w:val="decimal"/>
      <w:lvlText w:val="%1"/>
      <w:lvlJc w:val="left"/>
      <w:pPr>
        <w:ind w:left="480" w:hanging="480"/>
      </w:pPr>
    </w:lvl>
    <w:lvl w:ilvl="1">
      <w:start w:val="5"/>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7" w15:restartNumberingAfterBreak="0">
    <w:nsid w:val="484001AD"/>
    <w:multiLevelType w:val="multilevel"/>
    <w:tmpl w:val="0FA446F2"/>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8" w15:restartNumberingAfterBreak="0">
    <w:nsid w:val="48E94BC6"/>
    <w:multiLevelType w:val="multilevel"/>
    <w:tmpl w:val="769A6F00"/>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9" w15:restartNumberingAfterBreak="0">
    <w:nsid w:val="49173F59"/>
    <w:multiLevelType w:val="multilevel"/>
    <w:tmpl w:val="E5404564"/>
    <w:lvl w:ilvl="0">
      <w:start w:val="2"/>
      <w:numFmt w:val="decimal"/>
      <w:lvlText w:val="%1"/>
      <w:lvlJc w:val="left"/>
      <w:pPr>
        <w:ind w:left="480" w:hanging="480"/>
      </w:pPr>
    </w:lvl>
    <w:lvl w:ilvl="1">
      <w:start w:val="6"/>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0" w15:restartNumberingAfterBreak="0">
    <w:nsid w:val="4D61524C"/>
    <w:multiLevelType w:val="multilevel"/>
    <w:tmpl w:val="FB3CF79E"/>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4E8F0BBB"/>
    <w:multiLevelType w:val="multilevel"/>
    <w:tmpl w:val="78607B82"/>
    <w:lvl w:ilvl="0">
      <w:start w:val="2"/>
      <w:numFmt w:val="decimal"/>
      <w:lvlText w:val="%1"/>
      <w:lvlJc w:val="left"/>
      <w:pPr>
        <w:ind w:left="360" w:hanging="360"/>
      </w:pPr>
      <w:rPr>
        <w:rFonts w:cs="Times New Roman"/>
        <w:b/>
        <w:bCs/>
        <w:sz w:val="22"/>
        <w:szCs w:val="22"/>
        <w:lang w:val="sk-SK" w:eastAsia="sk-SK" w:bidi="ar-SA"/>
      </w:rPr>
    </w:lvl>
    <w:lvl w:ilvl="1">
      <w:start w:val="1"/>
      <w:numFmt w:val="decimal"/>
      <w:lvlText w:val="%1.%2"/>
      <w:lvlJc w:val="left"/>
      <w:pPr>
        <w:ind w:left="660" w:hanging="360"/>
      </w:pPr>
      <w:rPr>
        <w:rFonts w:cs="Times New Roman"/>
        <w:b/>
        <w:bCs/>
        <w:sz w:val="24"/>
        <w:szCs w:val="22"/>
        <w:lang w:val="sk-SK" w:eastAsia="sk-SK" w:bidi="ar-SA"/>
      </w:rPr>
    </w:lvl>
    <w:lvl w:ilvl="2">
      <w:start w:val="1"/>
      <w:numFmt w:val="decimal"/>
      <w:lvlText w:val="%1.%2.%3"/>
      <w:lvlJc w:val="left"/>
      <w:pPr>
        <w:ind w:left="1430" w:hanging="720"/>
      </w:pPr>
      <w:rPr>
        <w:rFonts w:cs="TimesNewRoman"/>
        <w:b/>
        <w:bCs/>
        <w:color w:val="000000"/>
        <w:highlight w:val="cyan"/>
        <w:lang w:val="sk-SK" w:eastAsia="sk-SK" w:bidi="ar-SA"/>
      </w:rPr>
    </w:lvl>
    <w:lvl w:ilvl="3">
      <w:start w:val="1"/>
      <w:numFmt w:val="decimal"/>
      <w:lvlText w:val="%1.%2.%3.%4"/>
      <w:lvlJc w:val="left"/>
      <w:pPr>
        <w:ind w:left="1620" w:hanging="720"/>
      </w:pPr>
      <w:rPr>
        <w:rFonts w:cs="Times New Roman"/>
        <w:b/>
        <w:bCs/>
        <w:sz w:val="22"/>
        <w:szCs w:val="22"/>
        <w:lang w:val="sk-SK" w:eastAsia="sk-SK" w:bidi="ar-SA"/>
      </w:rPr>
    </w:lvl>
    <w:lvl w:ilvl="4">
      <w:start w:val="1"/>
      <w:numFmt w:val="decimal"/>
      <w:lvlText w:val="%1.%2.%3.%4.%5"/>
      <w:lvlJc w:val="left"/>
      <w:pPr>
        <w:ind w:left="2280" w:hanging="1080"/>
      </w:pPr>
      <w:rPr>
        <w:rFonts w:cs="Times New Roman"/>
        <w:b/>
        <w:bCs/>
        <w:sz w:val="22"/>
        <w:szCs w:val="22"/>
        <w:lang w:val="sk-SK" w:eastAsia="sk-SK" w:bidi="ar-SA"/>
      </w:rPr>
    </w:lvl>
    <w:lvl w:ilvl="5">
      <w:start w:val="1"/>
      <w:numFmt w:val="decimal"/>
      <w:lvlText w:val="%1.%2.%3.%4.%5.%6"/>
      <w:lvlJc w:val="left"/>
      <w:pPr>
        <w:ind w:left="2580" w:hanging="1080"/>
      </w:pPr>
      <w:rPr>
        <w:rFonts w:cs="TimesNewRoman"/>
        <w:b/>
        <w:bCs/>
        <w:color w:val="000000"/>
        <w:highlight w:val="cyan"/>
        <w:lang w:val="sk-SK" w:eastAsia="sk-SK" w:bidi="ar-SA"/>
      </w:rPr>
    </w:lvl>
    <w:lvl w:ilvl="6">
      <w:start w:val="1"/>
      <w:numFmt w:val="decimal"/>
      <w:lvlText w:val="%1.%2.%3.%4.%5.%6.%7"/>
      <w:lvlJc w:val="left"/>
      <w:pPr>
        <w:ind w:left="3240" w:hanging="1440"/>
      </w:pPr>
      <w:rPr>
        <w:rFonts w:cs="Times New Roman"/>
        <w:b/>
        <w:bCs/>
        <w:sz w:val="22"/>
        <w:szCs w:val="22"/>
        <w:lang w:val="sk-SK" w:eastAsia="sk-SK" w:bidi="ar-SA"/>
      </w:rPr>
    </w:lvl>
    <w:lvl w:ilvl="7">
      <w:start w:val="1"/>
      <w:numFmt w:val="decimal"/>
      <w:lvlText w:val="%1.%2.%3.%4.%5.%6.%7.%8"/>
      <w:lvlJc w:val="left"/>
      <w:pPr>
        <w:ind w:left="3540" w:hanging="1440"/>
      </w:pPr>
      <w:rPr>
        <w:rFonts w:cs="Times New Roman"/>
        <w:b/>
        <w:bCs/>
        <w:sz w:val="22"/>
        <w:szCs w:val="22"/>
        <w:lang w:val="sk-SK" w:eastAsia="sk-SK" w:bidi="ar-SA"/>
      </w:rPr>
    </w:lvl>
    <w:lvl w:ilvl="8">
      <w:start w:val="1"/>
      <w:numFmt w:val="decimal"/>
      <w:lvlText w:val="%1.%2.%3.%4.%5.%6.%7.%8.%9"/>
      <w:lvlJc w:val="left"/>
      <w:pPr>
        <w:ind w:left="4200" w:hanging="1800"/>
      </w:pPr>
      <w:rPr>
        <w:rFonts w:cs="Times New Roman"/>
        <w:b/>
        <w:bCs/>
        <w:sz w:val="22"/>
        <w:szCs w:val="22"/>
        <w:lang w:val="sk-SK" w:eastAsia="sk-SK" w:bidi="ar-SA"/>
      </w:rPr>
    </w:lvl>
  </w:abstractNum>
  <w:abstractNum w:abstractNumId="22" w15:restartNumberingAfterBreak="0">
    <w:nsid w:val="510C7B14"/>
    <w:multiLevelType w:val="multilevel"/>
    <w:tmpl w:val="04C67FA6"/>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3" w15:restartNumberingAfterBreak="0">
    <w:nsid w:val="51BA0883"/>
    <w:multiLevelType w:val="multilevel"/>
    <w:tmpl w:val="834C77D6"/>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60" w:hanging="360"/>
      </w:pPr>
      <w:rPr>
        <w:b/>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4" w15:restartNumberingAfterBreak="0">
    <w:nsid w:val="5229428E"/>
    <w:multiLevelType w:val="multilevel"/>
    <w:tmpl w:val="296EBAC8"/>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098736F"/>
    <w:multiLevelType w:val="multilevel"/>
    <w:tmpl w:val="94AAC758"/>
    <w:lvl w:ilvl="0">
      <w:start w:val="1"/>
      <w:numFmt w:val="decimal"/>
      <w:lvlText w:val="%1."/>
      <w:lvlJc w:val="left"/>
      <w:pPr>
        <w:ind w:left="1713" w:hanging="360"/>
      </w:pPr>
      <w:rPr>
        <w:b w:val="0"/>
        <w:i w:val="0"/>
        <w:sz w:val="24"/>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26" w15:restartNumberingAfterBreak="0">
    <w:nsid w:val="61C6295C"/>
    <w:multiLevelType w:val="multilevel"/>
    <w:tmpl w:val="C66EEF1C"/>
    <w:lvl w:ilvl="0">
      <w:start w:val="2"/>
      <w:numFmt w:val="decimal"/>
      <w:lvlText w:val="%1"/>
      <w:lvlJc w:val="left"/>
      <w:pPr>
        <w:ind w:left="660" w:hanging="660"/>
      </w:pPr>
      <w:rPr>
        <w:rFonts w:eastAsia="Calibri" w:cs="Times New Roman"/>
        <w:b/>
        <w:bCs/>
        <w:sz w:val="22"/>
        <w:szCs w:val="22"/>
        <w:lang w:val="en-US"/>
      </w:rPr>
    </w:lvl>
    <w:lvl w:ilvl="1">
      <w:start w:val="7"/>
      <w:numFmt w:val="decimal"/>
      <w:lvlText w:val="%1.%2"/>
      <w:lvlJc w:val="left"/>
      <w:pPr>
        <w:ind w:left="544" w:hanging="660"/>
      </w:pPr>
      <w:rPr>
        <w:rFonts w:eastAsia="Calibri" w:cs="Times New Roman"/>
        <w:b/>
        <w:bCs/>
        <w:sz w:val="22"/>
        <w:szCs w:val="22"/>
        <w:lang w:val="en-US"/>
      </w:rPr>
    </w:lvl>
    <w:lvl w:ilvl="2">
      <w:start w:val="7"/>
      <w:numFmt w:val="decimal"/>
      <w:lvlText w:val="%1.%2.%3"/>
      <w:lvlJc w:val="left"/>
      <w:pPr>
        <w:ind w:left="488" w:hanging="720"/>
      </w:pPr>
      <w:rPr>
        <w:rFonts w:eastAsia="Calibri" w:cs="Times New Roman"/>
        <w:b/>
        <w:bCs/>
        <w:sz w:val="22"/>
        <w:szCs w:val="22"/>
        <w:lang w:val="en-US"/>
      </w:rPr>
    </w:lvl>
    <w:lvl w:ilvl="3">
      <w:start w:val="1"/>
      <w:numFmt w:val="bullet"/>
      <w:lvlText w:val="o"/>
      <w:lvlJc w:val="left"/>
      <w:pPr>
        <w:ind w:left="372" w:hanging="720"/>
      </w:pPr>
      <w:rPr>
        <w:rFonts w:ascii="Courier New" w:hAnsi="Courier New" w:cs="Courier New" w:hint="default"/>
      </w:rPr>
    </w:lvl>
    <w:lvl w:ilvl="4">
      <w:start w:val="1"/>
      <w:numFmt w:val="decimal"/>
      <w:lvlText w:val="%1.%2.%3.%4.%5"/>
      <w:lvlJc w:val="left"/>
      <w:pPr>
        <w:ind w:left="616" w:hanging="1080"/>
      </w:pPr>
      <w:rPr>
        <w:rFonts w:eastAsia="Calibri" w:cs="Times New Roman"/>
        <w:b/>
        <w:bCs/>
        <w:sz w:val="22"/>
        <w:szCs w:val="22"/>
        <w:lang w:val="en-US"/>
      </w:rPr>
    </w:lvl>
    <w:lvl w:ilvl="5">
      <w:start w:val="1"/>
      <w:numFmt w:val="decimal"/>
      <w:lvlText w:val="%1.%2.%3.%4.%5.%6"/>
      <w:lvlJc w:val="left"/>
      <w:pPr>
        <w:ind w:left="500" w:hanging="1080"/>
      </w:pPr>
      <w:rPr>
        <w:rFonts w:eastAsia="Calibri" w:cs="Times New Roman"/>
        <w:b/>
        <w:bCs/>
        <w:sz w:val="22"/>
        <w:szCs w:val="22"/>
        <w:lang w:val="en-US"/>
      </w:rPr>
    </w:lvl>
    <w:lvl w:ilvl="6">
      <w:start w:val="1"/>
      <w:numFmt w:val="decimal"/>
      <w:lvlText w:val="%1.%2.%3.%4.%5.%6.%7"/>
      <w:lvlJc w:val="left"/>
      <w:pPr>
        <w:ind w:left="744" w:hanging="1440"/>
      </w:pPr>
      <w:rPr>
        <w:rFonts w:eastAsia="Calibri" w:cs="Times New Roman"/>
        <w:b/>
        <w:bCs/>
        <w:sz w:val="22"/>
        <w:szCs w:val="22"/>
        <w:lang w:val="en-US"/>
      </w:rPr>
    </w:lvl>
    <w:lvl w:ilvl="7">
      <w:start w:val="1"/>
      <w:numFmt w:val="decimal"/>
      <w:lvlText w:val="%1.%2.%3.%4.%5.%6.%7.%8"/>
      <w:lvlJc w:val="left"/>
      <w:pPr>
        <w:ind w:left="628" w:hanging="1440"/>
      </w:pPr>
      <w:rPr>
        <w:rFonts w:eastAsia="Calibri" w:cs="Times New Roman"/>
        <w:b/>
        <w:bCs/>
        <w:sz w:val="22"/>
        <w:szCs w:val="22"/>
        <w:lang w:val="en-US"/>
      </w:rPr>
    </w:lvl>
    <w:lvl w:ilvl="8">
      <w:start w:val="1"/>
      <w:numFmt w:val="decimal"/>
      <w:lvlText w:val="%1.%2.%3.%4.%5.%6.%7.%8.%9"/>
      <w:lvlJc w:val="left"/>
      <w:pPr>
        <w:ind w:left="872" w:hanging="1800"/>
      </w:pPr>
      <w:rPr>
        <w:rFonts w:eastAsia="Calibri" w:cs="Times New Roman"/>
        <w:b/>
        <w:bCs/>
        <w:sz w:val="22"/>
        <w:szCs w:val="22"/>
        <w:lang w:val="en-US"/>
      </w:rPr>
    </w:lvl>
  </w:abstractNum>
  <w:abstractNum w:abstractNumId="27" w15:restartNumberingAfterBreak="0">
    <w:nsid w:val="62291AE1"/>
    <w:multiLevelType w:val="multilevel"/>
    <w:tmpl w:val="9E0EF318"/>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right"/>
      <w:pPr>
        <w:ind w:left="2160" w:hanging="180"/>
      </w:pPr>
      <w:rPr>
        <w:rFonts w:eastAsia="Times New Roman" w:cs="Times New Roman"/>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63D05E60"/>
    <w:multiLevelType w:val="multilevel"/>
    <w:tmpl w:val="AF7E131A"/>
    <w:lvl w:ilvl="0">
      <w:start w:val="1"/>
      <w:numFmt w:val="bullet"/>
      <w:lvlText w:val="–"/>
      <w:lvlJc w:val="left"/>
      <w:pPr>
        <w:tabs>
          <w:tab w:val="num" w:pos="420"/>
        </w:tabs>
        <w:ind w:left="420" w:hanging="360"/>
      </w:pPr>
      <w:rPr>
        <w:rFonts w:ascii="Times New Roman" w:hAnsi="Times New Roman" w:cs="Times New Roman" w:hint="default"/>
        <w:sz w:val="1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9" w15:restartNumberingAfterBreak="0">
    <w:nsid w:val="660D4E01"/>
    <w:multiLevelType w:val="multilevel"/>
    <w:tmpl w:val="99B65EAC"/>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30" w15:restartNumberingAfterBreak="0">
    <w:nsid w:val="6D08100E"/>
    <w:multiLevelType w:val="multilevel"/>
    <w:tmpl w:val="2AD0FB12"/>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31" w15:restartNumberingAfterBreak="0">
    <w:nsid w:val="71D55510"/>
    <w:multiLevelType w:val="multilevel"/>
    <w:tmpl w:val="F74A86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73CB7BFC"/>
    <w:multiLevelType w:val="multilevel"/>
    <w:tmpl w:val="A36AA64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77292A42"/>
    <w:multiLevelType w:val="multilevel"/>
    <w:tmpl w:val="B7BACC2E"/>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34" w15:restartNumberingAfterBreak="0">
    <w:nsid w:val="787020AF"/>
    <w:multiLevelType w:val="multilevel"/>
    <w:tmpl w:val="271A93E0"/>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o"/>
      <w:lvlJc w:val="left"/>
      <w:pPr>
        <w:ind w:left="2580" w:hanging="1080"/>
      </w:pPr>
      <w:rPr>
        <w:rFonts w:ascii="Courier New" w:hAnsi="Courier New" w:cs="Courier New" w:hint="default"/>
        <w:b/>
        <w:lang w:eastAsia="x-none" w:bidi="x-none"/>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num w:numId="1">
    <w:abstractNumId w:val="29"/>
  </w:num>
  <w:num w:numId="2">
    <w:abstractNumId w:val="13"/>
  </w:num>
  <w:num w:numId="3">
    <w:abstractNumId w:val="20"/>
  </w:num>
  <w:num w:numId="4">
    <w:abstractNumId w:val="34"/>
  </w:num>
  <w:num w:numId="5">
    <w:abstractNumId w:val="14"/>
  </w:num>
  <w:num w:numId="6">
    <w:abstractNumId w:val="26"/>
  </w:num>
  <w:num w:numId="7">
    <w:abstractNumId w:val="21"/>
  </w:num>
  <w:num w:numId="8">
    <w:abstractNumId w:val="23"/>
  </w:num>
  <w:num w:numId="9">
    <w:abstractNumId w:val="28"/>
  </w:num>
  <w:num w:numId="10">
    <w:abstractNumId w:val="8"/>
  </w:num>
  <w:num w:numId="11">
    <w:abstractNumId w:val="16"/>
  </w:num>
  <w:num w:numId="12">
    <w:abstractNumId w:val="19"/>
  </w:num>
  <w:num w:numId="13">
    <w:abstractNumId w:val="22"/>
  </w:num>
  <w:num w:numId="14">
    <w:abstractNumId w:val="17"/>
  </w:num>
  <w:num w:numId="15">
    <w:abstractNumId w:val="9"/>
  </w:num>
  <w:num w:numId="16">
    <w:abstractNumId w:val="27"/>
  </w:num>
  <w:num w:numId="17">
    <w:abstractNumId w:val="15"/>
  </w:num>
  <w:num w:numId="18">
    <w:abstractNumId w:val="32"/>
  </w:num>
  <w:num w:numId="19">
    <w:abstractNumId w:val="24"/>
  </w:num>
  <w:num w:numId="20">
    <w:abstractNumId w:val="7"/>
  </w:num>
  <w:num w:numId="21">
    <w:abstractNumId w:val="12"/>
  </w:num>
  <w:num w:numId="22">
    <w:abstractNumId w:val="2"/>
  </w:num>
  <w:num w:numId="23">
    <w:abstractNumId w:val="33"/>
  </w:num>
  <w:num w:numId="24">
    <w:abstractNumId w:val="18"/>
  </w:num>
  <w:num w:numId="25">
    <w:abstractNumId w:val="31"/>
  </w:num>
  <w:num w:numId="26">
    <w:abstractNumId w:val="5"/>
  </w:num>
  <w:num w:numId="27">
    <w:abstractNumId w:val="1"/>
  </w:num>
  <w:num w:numId="28">
    <w:abstractNumId w:val="30"/>
  </w:num>
  <w:num w:numId="29">
    <w:abstractNumId w:val="11"/>
  </w:num>
  <w:num w:numId="30">
    <w:abstractNumId w:val="0"/>
  </w:num>
  <w:num w:numId="31">
    <w:abstractNumId w:val="3"/>
  </w:num>
  <w:num w:numId="32">
    <w:abstractNumId w:val="25"/>
  </w:num>
  <w:num w:numId="33">
    <w:abstractNumId w:val="4"/>
  </w:num>
  <w:num w:numId="34">
    <w:abstractNumId w:val="6"/>
  </w:num>
  <w:num w:numId="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5C6"/>
    <w:rsid w:val="00015BA1"/>
    <w:rsid w:val="00046934"/>
    <w:rsid w:val="003355F2"/>
    <w:rsid w:val="00530FD5"/>
    <w:rsid w:val="0055319E"/>
    <w:rsid w:val="0064527F"/>
    <w:rsid w:val="00712DC6"/>
    <w:rsid w:val="007C0771"/>
    <w:rsid w:val="007C2CF9"/>
    <w:rsid w:val="009A3721"/>
    <w:rsid w:val="009C07F4"/>
    <w:rsid w:val="009C607A"/>
    <w:rsid w:val="00AE15C6"/>
    <w:rsid w:val="00B0349B"/>
    <w:rsid w:val="00B127C5"/>
    <w:rsid w:val="00B5167D"/>
    <w:rsid w:val="00E20FB4"/>
    <w:rsid w:val="00E46A3D"/>
    <w:rsid w:val="00F87EDC"/>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BB9B82-DE9B-4898-9BC1-34335C544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link w:val="Char2"/>
    <w:unhideWhenUsed/>
    <w:qFormat/>
    <w:rsid w:val="00B60697"/>
    <w:rPr>
      <w:vertAlign w:val="superscript"/>
    </w:rPr>
  </w:style>
  <w:style w:type="character" w:customStyle="1" w:styleId="TextpoznmkypodiarouChar1">
    <w:name w:val="Text poznámky pod čiarou Char1"/>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Pr>
      <w:rFonts w:cs="Times New Roman"/>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Symbol"/>
      <w:b/>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b/>
      <w:sz w:val="24"/>
      <w:szCs w:val="24"/>
    </w:rPr>
  </w:style>
  <w:style w:type="character" w:customStyle="1" w:styleId="ListLabel11">
    <w:name w:val="ListLabel 11"/>
    <w:qFormat/>
    <w:rPr>
      <w:rFonts w:eastAsia="Times New Roman" w:cs="Times New Roman"/>
      <w:b/>
    </w:rPr>
  </w:style>
  <w:style w:type="character" w:customStyle="1" w:styleId="ListLabel12">
    <w:name w:val="ListLabel 12"/>
    <w:qFormat/>
    <w:rPr>
      <w:rFonts w:eastAsia="Times New Roman" w:cs="Times New Roman"/>
    </w:rPr>
  </w:style>
  <w:style w:type="character" w:customStyle="1" w:styleId="ListLabel13">
    <w:name w:val="ListLabel 13"/>
    <w:qFormat/>
    <w:rPr>
      <w:rFonts w:cs="Symbol"/>
    </w:rPr>
  </w:style>
  <w:style w:type="character" w:customStyle="1" w:styleId="ListLabel14">
    <w:name w:val="ListLabel 14"/>
    <w:qFormat/>
    <w:rPr>
      <w:rFonts w:cs="Symbol"/>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Symbol"/>
    </w:rPr>
  </w:style>
  <w:style w:type="character" w:customStyle="1" w:styleId="ListLabel18">
    <w:name w:val="ListLabel 18"/>
    <w:qFormat/>
    <w:rPr>
      <w:rFonts w:cs="Courier New"/>
      <w:b/>
      <w:lang w:eastAsia="x-none" w:bidi="x-none"/>
    </w:rPr>
  </w:style>
  <w:style w:type="character" w:customStyle="1" w:styleId="ListLabel19">
    <w:name w:val="ListLabel 19"/>
    <w:qFormat/>
    <w:rPr>
      <w:rFonts w:cs="Symbol"/>
    </w:rPr>
  </w:style>
  <w:style w:type="character" w:customStyle="1" w:styleId="ListLabel20">
    <w:name w:val="ListLabel 20"/>
    <w:qFormat/>
    <w:rPr>
      <w:rFonts w:cs="Symbol"/>
    </w:rPr>
  </w:style>
  <w:style w:type="character" w:customStyle="1" w:styleId="ListLabel21">
    <w:name w:val="ListLabel 21"/>
    <w:qFormat/>
    <w:rPr>
      <w:rFonts w:cs="Symbol"/>
    </w:rPr>
  </w:style>
  <w:style w:type="character" w:customStyle="1" w:styleId="ListLabel22">
    <w:name w:val="ListLabel 22"/>
    <w:qFormat/>
    <w:rPr>
      <w:rFonts w:cs="Symbol"/>
      <w:sz w:val="20"/>
      <w:szCs w:val="20"/>
    </w:rPr>
  </w:style>
  <w:style w:type="character" w:customStyle="1" w:styleId="ListLabel23">
    <w:name w:val="ListLabel 23"/>
    <w:qFormat/>
    <w:rPr>
      <w:rFonts w:cs="Symbol"/>
      <w:sz w:val="20"/>
      <w:szCs w:val="20"/>
    </w:rPr>
  </w:style>
  <w:style w:type="character" w:customStyle="1" w:styleId="ListLabel24">
    <w:name w:val="ListLabel 24"/>
    <w:qFormat/>
    <w:rPr>
      <w:rFonts w:cs="Wingdings"/>
    </w:rPr>
  </w:style>
  <w:style w:type="character" w:customStyle="1" w:styleId="ListLabel25">
    <w:name w:val="ListLabel 25"/>
    <w:qFormat/>
    <w:rPr>
      <w:rFonts w:cs="Symbol"/>
      <w:sz w:val="20"/>
      <w:szCs w:val="20"/>
    </w:rPr>
  </w:style>
  <w:style w:type="character" w:customStyle="1" w:styleId="ListLabel26">
    <w:name w:val="ListLabel 26"/>
    <w:qFormat/>
    <w:rPr>
      <w:rFonts w:cs="Symbol"/>
      <w:b/>
    </w:rPr>
  </w:style>
  <w:style w:type="character" w:customStyle="1" w:styleId="ListLabel27">
    <w:name w:val="ListLabel 27"/>
    <w:qFormat/>
    <w:rPr>
      <w:rFonts w:cs="Wingdings"/>
    </w:rPr>
  </w:style>
  <w:style w:type="character" w:customStyle="1" w:styleId="ListLabel28">
    <w:name w:val="ListLabel 28"/>
    <w:qFormat/>
    <w:rPr>
      <w:rFonts w:cs="Symbol"/>
      <w:sz w:val="20"/>
      <w:szCs w:val="20"/>
    </w:rPr>
  </w:style>
  <w:style w:type="character" w:customStyle="1" w:styleId="ListLabel29">
    <w:name w:val="ListLabel 29"/>
    <w:qFormat/>
    <w:rPr>
      <w:rFonts w:cs="Symbol"/>
      <w:sz w:val="20"/>
      <w:szCs w:val="20"/>
    </w:rPr>
  </w:style>
  <w:style w:type="character" w:customStyle="1" w:styleId="ListLabel30">
    <w:name w:val="ListLabel 30"/>
    <w:qFormat/>
    <w:rPr>
      <w:rFonts w:cs="Symbol"/>
      <w:sz w:val="20"/>
      <w:szCs w:val="20"/>
    </w:rPr>
  </w:style>
  <w:style w:type="character" w:customStyle="1" w:styleId="ListLabel31">
    <w:name w:val="ListLabel 31"/>
    <w:qFormat/>
    <w:rPr>
      <w:rFonts w:eastAsia="Calibri" w:cs="Times New Roman"/>
      <w:b/>
      <w:bCs/>
      <w:sz w:val="22"/>
      <w:szCs w:val="22"/>
      <w:lang w:val="en-US"/>
    </w:rPr>
  </w:style>
  <w:style w:type="character" w:customStyle="1" w:styleId="ListLabel32">
    <w:name w:val="ListLabel 32"/>
    <w:qFormat/>
    <w:rPr>
      <w:rFonts w:eastAsia="Calibri" w:cs="Times New Roman"/>
      <w:b/>
      <w:bCs/>
      <w:sz w:val="22"/>
      <w:szCs w:val="22"/>
      <w:lang w:val="en-US"/>
    </w:rPr>
  </w:style>
  <w:style w:type="character" w:customStyle="1" w:styleId="ListLabel33">
    <w:name w:val="ListLabel 33"/>
    <w:qFormat/>
    <w:rPr>
      <w:rFonts w:eastAsia="Calibri" w:cs="Times New Roman"/>
      <w:b/>
      <w:bCs/>
      <w:sz w:val="22"/>
      <w:szCs w:val="22"/>
      <w:lang w:val="en-US"/>
    </w:rPr>
  </w:style>
  <w:style w:type="character" w:customStyle="1" w:styleId="ListLabel34">
    <w:name w:val="ListLabel 34"/>
    <w:qFormat/>
    <w:rPr>
      <w:rFonts w:eastAsia="Calibri" w:cs="Times New Roman"/>
      <w:b/>
      <w:bCs/>
      <w:sz w:val="22"/>
      <w:szCs w:val="22"/>
      <w:lang w:val="en-US"/>
    </w:rPr>
  </w:style>
  <w:style w:type="character" w:customStyle="1" w:styleId="ListLabel35">
    <w:name w:val="ListLabel 35"/>
    <w:qFormat/>
    <w:rPr>
      <w:rFonts w:eastAsia="Calibri" w:cs="Times New Roman"/>
      <w:b/>
      <w:bCs/>
      <w:sz w:val="22"/>
      <w:szCs w:val="22"/>
      <w:lang w:val="en-US"/>
    </w:rPr>
  </w:style>
  <w:style w:type="character" w:customStyle="1" w:styleId="ListLabel36">
    <w:name w:val="ListLabel 36"/>
    <w:qFormat/>
    <w:rPr>
      <w:rFonts w:eastAsia="Calibri" w:cs="Times New Roman"/>
      <w:b/>
      <w:bCs/>
      <w:sz w:val="22"/>
      <w:szCs w:val="22"/>
      <w:lang w:val="en-US"/>
    </w:rPr>
  </w:style>
  <w:style w:type="character" w:customStyle="1" w:styleId="ListLabel37">
    <w:name w:val="ListLabel 37"/>
    <w:qFormat/>
    <w:rPr>
      <w:rFonts w:eastAsia="Calibri" w:cs="Times New Roman"/>
      <w:b/>
      <w:bCs/>
      <w:sz w:val="22"/>
      <w:szCs w:val="22"/>
      <w:lang w:val="en-US"/>
    </w:rPr>
  </w:style>
  <w:style w:type="character" w:customStyle="1" w:styleId="ListLabel38">
    <w:name w:val="ListLabel 38"/>
    <w:qFormat/>
    <w:rPr>
      <w:rFonts w:eastAsia="Calibri" w:cs="Times New Roman"/>
      <w:b/>
      <w:bCs/>
      <w:sz w:val="22"/>
      <w:szCs w:val="22"/>
      <w:lang w:val="en-US"/>
    </w:rPr>
  </w:style>
  <w:style w:type="character" w:customStyle="1" w:styleId="ListLabel39">
    <w:name w:val="ListLabel 39"/>
    <w:qFormat/>
    <w:rPr>
      <w:rFonts w:cs="Times New Roman"/>
      <w:b/>
      <w:bCs/>
      <w:sz w:val="22"/>
      <w:szCs w:val="22"/>
      <w:lang w:val="sk-SK" w:eastAsia="sk-SK" w:bidi="ar-SA"/>
    </w:rPr>
  </w:style>
  <w:style w:type="character" w:customStyle="1" w:styleId="ListLabel40">
    <w:name w:val="ListLabel 40"/>
    <w:qFormat/>
    <w:rPr>
      <w:rFonts w:cs="Times New Roman"/>
      <w:b/>
      <w:bCs/>
      <w:sz w:val="24"/>
      <w:szCs w:val="22"/>
      <w:lang w:val="sk-SK" w:eastAsia="sk-SK" w:bidi="ar-SA"/>
    </w:rPr>
  </w:style>
  <w:style w:type="character" w:customStyle="1" w:styleId="ListLabel41">
    <w:name w:val="ListLabel 41"/>
    <w:qFormat/>
    <w:rPr>
      <w:rFonts w:cs="TimesNewRoman"/>
      <w:b/>
      <w:bCs/>
      <w:color w:val="000000"/>
      <w:highlight w:val="cyan"/>
      <w:lang w:val="sk-SK" w:eastAsia="sk-SK" w:bidi="ar-SA"/>
    </w:rPr>
  </w:style>
  <w:style w:type="character" w:customStyle="1" w:styleId="ListLabel42">
    <w:name w:val="ListLabel 42"/>
    <w:qFormat/>
    <w:rPr>
      <w:rFonts w:cs="Times New Roman"/>
      <w:b/>
      <w:bCs/>
      <w:sz w:val="22"/>
      <w:szCs w:val="22"/>
      <w:lang w:val="sk-SK" w:eastAsia="sk-SK" w:bidi="ar-SA"/>
    </w:rPr>
  </w:style>
  <w:style w:type="character" w:customStyle="1" w:styleId="ListLabel43">
    <w:name w:val="ListLabel 43"/>
    <w:qFormat/>
    <w:rPr>
      <w:rFonts w:cs="Times New Roman"/>
      <w:b/>
      <w:bCs/>
      <w:sz w:val="22"/>
      <w:szCs w:val="22"/>
      <w:lang w:val="sk-SK" w:eastAsia="sk-SK" w:bidi="ar-SA"/>
    </w:rPr>
  </w:style>
  <w:style w:type="character" w:customStyle="1" w:styleId="ListLabel44">
    <w:name w:val="ListLabel 44"/>
    <w:qFormat/>
    <w:rPr>
      <w:rFonts w:cs="TimesNewRoman"/>
      <w:b/>
      <w:bCs/>
      <w:color w:val="000000"/>
      <w:highlight w:val="cyan"/>
      <w:lang w:val="sk-SK" w:eastAsia="sk-SK" w:bidi="ar-SA"/>
    </w:rPr>
  </w:style>
  <w:style w:type="character" w:customStyle="1" w:styleId="ListLabel45">
    <w:name w:val="ListLabel 45"/>
    <w:qFormat/>
    <w:rPr>
      <w:rFonts w:cs="Times New Roman"/>
      <w:b/>
      <w:bCs/>
      <w:sz w:val="22"/>
      <w:szCs w:val="22"/>
      <w:lang w:val="sk-SK" w:eastAsia="sk-SK" w:bidi="ar-SA"/>
    </w:rPr>
  </w:style>
  <w:style w:type="character" w:customStyle="1" w:styleId="ListLabel46">
    <w:name w:val="ListLabel 46"/>
    <w:qFormat/>
    <w:rPr>
      <w:rFonts w:cs="Times New Roman"/>
      <w:b/>
      <w:bCs/>
      <w:sz w:val="22"/>
      <w:szCs w:val="22"/>
      <w:lang w:val="sk-SK" w:eastAsia="sk-SK" w:bidi="ar-SA"/>
    </w:rPr>
  </w:style>
  <w:style w:type="character" w:customStyle="1" w:styleId="ListLabel47">
    <w:name w:val="ListLabel 47"/>
    <w:qFormat/>
    <w:rPr>
      <w:rFonts w:cs="Times New Roman"/>
      <w:b/>
      <w:bCs/>
      <w:sz w:val="22"/>
      <w:szCs w:val="22"/>
      <w:lang w:val="sk-SK" w:eastAsia="sk-SK" w:bidi="ar-SA"/>
    </w:rPr>
  </w:style>
  <w:style w:type="character" w:customStyle="1" w:styleId="ListLabel48">
    <w:name w:val="ListLabel 48"/>
    <w:qFormat/>
    <w:rPr>
      <w:b w:val="0"/>
    </w:rPr>
  </w:style>
  <w:style w:type="character" w:customStyle="1" w:styleId="ListLabel49">
    <w:name w:val="ListLabel 49"/>
    <w:qFormat/>
    <w:rPr>
      <w:b/>
    </w:rPr>
  </w:style>
  <w:style w:type="character" w:customStyle="1" w:styleId="ListLabel50">
    <w:name w:val="ListLabel 50"/>
    <w:qFormat/>
    <w:rPr>
      <w:rFonts w:eastAsia="Times New Roman" w:cs="Times New Roman"/>
      <w:sz w:val="18"/>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cs="Courier New"/>
    </w:rPr>
  </w:style>
  <w:style w:type="character" w:customStyle="1" w:styleId="ListLabel54">
    <w:name w:val="ListLabel 54"/>
    <w:qFormat/>
    <w:rPr>
      <w:b/>
    </w:rPr>
  </w:style>
  <w:style w:type="character" w:customStyle="1" w:styleId="ListLabel55">
    <w:name w:val="ListLabel 55"/>
    <w:qFormat/>
    <w:rPr>
      <w:b/>
    </w:rPr>
  </w:style>
  <w:style w:type="character" w:customStyle="1" w:styleId="ListLabel56">
    <w:name w:val="ListLabel 56"/>
    <w:qFormat/>
    <w:rPr>
      <w:b/>
    </w:rPr>
  </w:style>
  <w:style w:type="character" w:customStyle="1" w:styleId="ListLabel57">
    <w:name w:val="ListLabel 57"/>
    <w:qFormat/>
    <w:rPr>
      <w:rFonts w:eastAsia="Times New Roman" w:cs="Times New Roman"/>
    </w:rPr>
  </w:style>
  <w:style w:type="character" w:customStyle="1" w:styleId="ListLabel58">
    <w:name w:val="ListLabel 58"/>
    <w:qFormat/>
    <w:rPr>
      <w:b/>
    </w:rPr>
  </w:style>
  <w:style w:type="character" w:customStyle="1" w:styleId="ListLabel59">
    <w:name w:val="ListLabel 59"/>
    <w:qFormat/>
    <w:rPr>
      <w:rFonts w:cs="Times New Roman"/>
      <w:sz w:val="20"/>
      <w:szCs w:val="24"/>
    </w:rPr>
  </w:style>
  <w:style w:type="character" w:customStyle="1" w:styleId="ListLabel60">
    <w:name w:val="ListLabel 60"/>
    <w:qFormat/>
    <w:rPr>
      <w:color w:val="000000"/>
      <w:sz w:val="24"/>
      <w:szCs w:val="24"/>
      <w:lang w:val="cs-CZ"/>
    </w:rPr>
  </w:style>
  <w:style w:type="character" w:customStyle="1" w:styleId="ListLabel61">
    <w:name w:val="ListLabel 61"/>
    <w:qFormat/>
    <w:rPr>
      <w:rFonts w:cs="Symbol"/>
      <w:color w:val="000000"/>
      <w:sz w:val="24"/>
      <w:szCs w:val="24"/>
      <w:lang w:val="cs-CZ"/>
    </w:rPr>
  </w:style>
  <w:style w:type="character" w:customStyle="1" w:styleId="ListLabel62">
    <w:name w:val="ListLabel 62"/>
    <w:qFormat/>
    <w:rPr>
      <w:rFonts w:cs="Wingdings"/>
    </w:rPr>
  </w:style>
  <w:style w:type="character" w:customStyle="1" w:styleId="ListLabel63">
    <w:name w:val="ListLabel 63"/>
    <w:qFormat/>
    <w:rPr>
      <w:rFonts w:cs="Symbol"/>
    </w:rPr>
  </w:style>
  <w:style w:type="character" w:customStyle="1" w:styleId="ListLabel64">
    <w:name w:val="ListLabel 64"/>
    <w:qFormat/>
    <w:rPr>
      <w:rFonts w:cs="Symbol"/>
      <w:color w:val="000000"/>
      <w:sz w:val="24"/>
      <w:szCs w:val="24"/>
      <w:lang w:val="cs-CZ"/>
    </w:rPr>
  </w:style>
  <w:style w:type="character" w:customStyle="1" w:styleId="ListLabel65">
    <w:name w:val="ListLabel 65"/>
    <w:qFormat/>
    <w:rPr>
      <w:rFonts w:cs="Wingdings"/>
    </w:rPr>
  </w:style>
  <w:style w:type="character" w:customStyle="1" w:styleId="ListLabel66">
    <w:name w:val="ListLabel 66"/>
    <w:qFormat/>
    <w:rPr>
      <w:rFonts w:cs="Symbol"/>
      <w:color w:val="000000"/>
      <w:sz w:val="24"/>
      <w:szCs w:val="24"/>
      <w:lang w:val="cs-CZ"/>
    </w:rPr>
  </w:style>
  <w:style w:type="character" w:customStyle="1" w:styleId="ListLabel67">
    <w:name w:val="ListLabel 67"/>
    <w:qFormat/>
    <w:rPr>
      <w:rFonts w:cs="Symbol"/>
      <w:color w:val="000000"/>
      <w:sz w:val="24"/>
      <w:szCs w:val="24"/>
      <w:lang w:val="cs-CZ"/>
    </w:rPr>
  </w:style>
  <w:style w:type="character" w:customStyle="1" w:styleId="ListLabel68">
    <w:name w:val="ListLabel 68"/>
    <w:qFormat/>
    <w:rPr>
      <w:rFonts w:cs="Symbol"/>
      <w:color w:val="000000"/>
      <w:sz w:val="24"/>
      <w:szCs w:val="24"/>
      <w:lang w:val="cs-CZ"/>
    </w:rPr>
  </w:style>
  <w:style w:type="character" w:customStyle="1" w:styleId="ListLabel69">
    <w:name w:val="ListLabel 69"/>
    <w:qFormat/>
    <w:rPr>
      <w:rFonts w:eastAsia="Times New Roman" w:cs="Times New Roman"/>
    </w:rPr>
  </w:style>
  <w:style w:type="character" w:customStyle="1" w:styleId="ListLabel70">
    <w:name w:val="ListLabel 70"/>
    <w:qFormat/>
    <w:rPr>
      <w:rFonts w:cs="Courier New"/>
    </w:rPr>
  </w:style>
  <w:style w:type="character" w:customStyle="1" w:styleId="ListLabel71">
    <w:name w:val="ListLabel 71"/>
    <w:qFormat/>
    <w:rPr>
      <w:rFonts w:cs="Courier New"/>
    </w:rPr>
  </w:style>
  <w:style w:type="character" w:customStyle="1" w:styleId="ListLabel72">
    <w:name w:val="ListLabel 72"/>
    <w:qFormat/>
    <w:rPr>
      <w:rFonts w:cs="Courier New"/>
    </w:rPr>
  </w:style>
  <w:style w:type="character" w:customStyle="1" w:styleId="ListLabel73">
    <w:name w:val="ListLabel 73"/>
    <w:qFormat/>
    <w:rPr>
      <w:rFonts w:eastAsia="Times New Roman" w:cs="Times New Roman"/>
    </w:rPr>
  </w:style>
  <w:style w:type="character" w:customStyle="1" w:styleId="ListLabel74">
    <w:name w:val="ListLabel 74"/>
    <w:qFormat/>
    <w:rPr>
      <w:rFonts w:cs="Courier New"/>
    </w:rPr>
  </w:style>
  <w:style w:type="character" w:customStyle="1" w:styleId="ListLabel75">
    <w:name w:val="ListLabel 75"/>
    <w:qFormat/>
    <w:rPr>
      <w:rFonts w:cs="Courier New"/>
    </w:rPr>
  </w:style>
  <w:style w:type="character" w:customStyle="1" w:styleId="ListLabel76">
    <w:name w:val="ListLabel 76"/>
    <w:qFormat/>
    <w:rPr>
      <w:rFonts w:cs="Courier New"/>
    </w:rPr>
  </w:style>
  <w:style w:type="character" w:customStyle="1" w:styleId="ListLabel77">
    <w:name w:val="ListLabel 77"/>
    <w:qFormat/>
    <w:rPr>
      <w:rFonts w:eastAsia="Times New Roman" w:cs="Times New Roman"/>
      <w:b/>
    </w:rPr>
  </w:style>
  <w:style w:type="character" w:customStyle="1" w:styleId="ListLabel78">
    <w:name w:val="ListLabel 78"/>
    <w:qFormat/>
    <w:rPr>
      <w:rFonts w:cs="Courier New"/>
    </w:rPr>
  </w:style>
  <w:style w:type="character" w:customStyle="1" w:styleId="ListLabel79">
    <w:name w:val="ListLabel 79"/>
    <w:qFormat/>
    <w:rPr>
      <w:rFonts w:cs="Courier New"/>
    </w:rPr>
  </w:style>
  <w:style w:type="character" w:customStyle="1" w:styleId="ListLabel80">
    <w:name w:val="ListLabel 80"/>
    <w:qFormat/>
    <w:rPr>
      <w:rFonts w:cs="Courier New"/>
    </w:rPr>
  </w:style>
  <w:style w:type="character" w:customStyle="1" w:styleId="ListLabel81">
    <w:name w:val="ListLabel 81"/>
    <w:qFormat/>
    <w:rPr>
      <w:rFonts w:eastAsia="Times New Roman" w:cs="Times New Roman"/>
      <w:b/>
    </w:rPr>
  </w:style>
  <w:style w:type="character" w:customStyle="1" w:styleId="ListLabel82">
    <w:name w:val="ListLabel 82"/>
    <w:qFormat/>
    <w:rPr>
      <w:rFonts w:cs="Courier New"/>
    </w:rPr>
  </w:style>
  <w:style w:type="character" w:customStyle="1" w:styleId="ListLabel83">
    <w:name w:val="ListLabel 83"/>
    <w:qFormat/>
    <w:rPr>
      <w:rFonts w:cs="Courier New"/>
    </w:rPr>
  </w:style>
  <w:style w:type="character" w:customStyle="1" w:styleId="ListLabel84">
    <w:name w:val="ListLabel 84"/>
    <w:qFormat/>
    <w:rPr>
      <w:rFonts w:cs="Courier New"/>
    </w:rPr>
  </w:style>
  <w:style w:type="character" w:customStyle="1" w:styleId="ListLabel85">
    <w:name w:val="ListLabel 85"/>
    <w:qFormat/>
    <w:rPr>
      <w:color w:val="00000A"/>
    </w:rPr>
  </w:style>
  <w:style w:type="character" w:customStyle="1" w:styleId="ListLabel86">
    <w:name w:val="ListLabel 86"/>
    <w:qFormat/>
    <w:rPr>
      <w:color w:val="00000A"/>
    </w:rPr>
  </w:style>
  <w:style w:type="character" w:customStyle="1" w:styleId="ListLabel87">
    <w:name w:val="ListLabel 87"/>
    <w:qFormat/>
    <w:rPr>
      <w:b w:val="0"/>
      <w:i w:val="0"/>
      <w:sz w:val="24"/>
    </w:rPr>
  </w:style>
  <w:style w:type="character" w:customStyle="1" w:styleId="ListLabel88">
    <w:name w:val="ListLabel 88"/>
    <w:qFormat/>
    <w:rPr>
      <w:rFonts w:cs="Symbol"/>
      <w:highlight w:val="green"/>
    </w:rPr>
  </w:style>
  <w:style w:type="character" w:customStyle="1" w:styleId="ListLabel89">
    <w:name w:val="ListLabel 89"/>
    <w:qFormat/>
    <w:rPr>
      <w:rFonts w:cs="Symbol"/>
      <w:highlight w:val="green"/>
    </w:rPr>
  </w:style>
  <w:style w:type="character" w:customStyle="1" w:styleId="ListLabel90">
    <w:name w:val="ListLabel 90"/>
    <w:qFormat/>
    <w:rPr>
      <w:rFonts w:cs="Symbol"/>
      <w:highlight w:val="green"/>
    </w:rPr>
  </w:style>
  <w:style w:type="character" w:customStyle="1" w:styleId="ListLabel91">
    <w:name w:val="ListLabel 91"/>
    <w:qFormat/>
    <w:rPr>
      <w:rFonts w:cs="Symbol"/>
      <w:b/>
    </w:rPr>
  </w:style>
  <w:style w:type="character" w:customStyle="1" w:styleId="ListLabel92">
    <w:name w:val="ListLabel 92"/>
    <w:qFormat/>
    <w:rPr>
      <w:rFonts w:cs="Symbol"/>
      <w:highlight w:val="green"/>
    </w:rPr>
  </w:style>
  <w:style w:type="character" w:customStyle="1" w:styleId="ListLabel93">
    <w:name w:val="ListLabel 93"/>
    <w:qFormat/>
    <w:rPr>
      <w:rFonts w:cs="Symbol"/>
      <w:highlight w:val="green"/>
    </w:rPr>
  </w:style>
  <w:style w:type="character" w:customStyle="1" w:styleId="ListLabel94">
    <w:name w:val="ListLabel 94"/>
    <w:qFormat/>
    <w:rPr>
      <w:rFonts w:cs="Symbol"/>
      <w:highlight w:val="green"/>
    </w:rPr>
  </w:style>
  <w:style w:type="character" w:customStyle="1" w:styleId="ListLabel95">
    <w:name w:val="ListLabel 95"/>
    <w:qFormat/>
    <w:rPr>
      <w:rFonts w:cs="Symbol"/>
      <w:highlight w:val="green"/>
    </w:rPr>
  </w:style>
  <w:style w:type="character" w:customStyle="1" w:styleId="ListLabel96">
    <w:name w:val="ListLabel 96"/>
    <w:qFormat/>
    <w:rPr>
      <w:rFonts w:cs="Symbol"/>
      <w:highlight w:val="green"/>
    </w:rPr>
  </w:style>
  <w:style w:type="character" w:customStyle="1" w:styleId="ListLabel97">
    <w:name w:val="ListLabel 97"/>
    <w:qFormat/>
    <w:rPr>
      <w:rFonts w:cs="Symbol"/>
      <w:highlight w:val="green"/>
    </w:rPr>
  </w:style>
  <w:style w:type="character" w:customStyle="1" w:styleId="ListLabel98">
    <w:name w:val="ListLabel 98"/>
    <w:qFormat/>
    <w:rPr>
      <w:rFonts w:cs="Symbol"/>
      <w:highlight w:val="green"/>
    </w:rPr>
  </w:style>
  <w:style w:type="character" w:customStyle="1" w:styleId="ListLabel99">
    <w:name w:val="ListLabel 99"/>
    <w:qFormat/>
    <w:rPr>
      <w:rFonts w:cs="Symbol"/>
      <w:highlight w:val="green"/>
    </w:rPr>
  </w:style>
  <w:style w:type="character" w:customStyle="1" w:styleId="ListLabel100">
    <w:name w:val="ListLabel 100"/>
    <w:qFormat/>
    <w:rPr>
      <w:rFonts w:cs="Symbol"/>
      <w:highlight w:val="green"/>
    </w:rPr>
  </w:style>
  <w:style w:type="character" w:customStyle="1" w:styleId="ListLabel101">
    <w:name w:val="ListLabel 101"/>
    <w:qFormat/>
    <w:rPr>
      <w:rFonts w:cs="Symbol"/>
      <w:highlight w:val="green"/>
    </w:rPr>
  </w:style>
  <w:style w:type="character" w:customStyle="1" w:styleId="ListLabel102">
    <w:name w:val="ListLabel 102"/>
    <w:qFormat/>
    <w:rPr>
      <w:rFonts w:cs="Symbol"/>
      <w:highlight w:val="green"/>
    </w:rPr>
  </w:style>
  <w:style w:type="character" w:customStyle="1" w:styleId="ListLabel103">
    <w:name w:val="ListLabel 103"/>
    <w:qFormat/>
    <w:rPr>
      <w:rFonts w:cs="Symbol"/>
      <w:highlight w:val="green"/>
    </w:rPr>
  </w:style>
  <w:style w:type="character" w:customStyle="1" w:styleId="ListLabel104">
    <w:name w:val="ListLabel 104"/>
    <w:qFormat/>
    <w:rPr>
      <w:rFonts w:cs="Symbol"/>
      <w:highlight w:val="green"/>
    </w:rPr>
  </w:style>
  <w:style w:type="character" w:customStyle="1" w:styleId="FootnoteCharacters">
    <w:name w:val="Footnote Characters"/>
    <w:qFormat/>
  </w:style>
  <w:style w:type="character" w:customStyle="1" w:styleId="FootnoteAnchor">
    <w:name w:val="Footnote Anchor"/>
    <w:rPr>
      <w:vertAlign w:val="superscript"/>
    </w:rPr>
  </w:style>
  <w:style w:type="character" w:customStyle="1" w:styleId="EndnoteAnchor">
    <w:name w:val="Endnote Anchor"/>
    <w:rPr>
      <w:vertAlign w:val="superscript"/>
    </w:rPr>
  </w:style>
  <w:style w:type="character" w:customStyle="1" w:styleId="EndnoteCharacters">
    <w:name w:val="Endnote Characters"/>
    <w:qFormat/>
  </w:style>
  <w:style w:type="paragraph" w:customStyle="1" w:styleId="Heading">
    <w:name w:val="Heading"/>
    <w:basedOn w:val="Normlny"/>
    <w:next w:val="TextBody"/>
    <w:qFormat/>
    <w:pPr>
      <w:keepNext/>
      <w:spacing w:before="240" w:after="120"/>
    </w:pPr>
    <w:rPr>
      <w:rFonts w:ascii="Liberation Sans" w:eastAsia="Microsoft YaHei" w:hAnsi="Liberation Sans" w:cs="Arial"/>
      <w:sz w:val="28"/>
      <w:szCs w:val="28"/>
    </w:rPr>
  </w:style>
  <w:style w:type="paragraph" w:customStyle="1" w:styleId="TextBody">
    <w:name w:val="Text Body"/>
    <w:basedOn w:val="Normlny"/>
    <w:pPr>
      <w:spacing w:after="140" w:line="288" w:lineRule="auto"/>
    </w:pPr>
  </w:style>
  <w:style w:type="paragraph" w:styleId="Zoznam">
    <w:name w:val="List"/>
    <w:basedOn w:val="TextBody"/>
    <w:rPr>
      <w:rFonts w:cs="Arial"/>
    </w:rPr>
  </w:style>
  <w:style w:type="paragraph" w:styleId="Popis">
    <w:name w:val="caption"/>
    <w:basedOn w:val="Normlny"/>
    <w:qFormat/>
    <w:pPr>
      <w:suppressLineNumbers/>
      <w:spacing w:before="120" w:after="120"/>
    </w:pPr>
    <w:rPr>
      <w:rFonts w:cs="Arial"/>
      <w:i/>
      <w:iCs/>
    </w:rPr>
  </w:style>
  <w:style w:type="paragraph" w:customStyle="1" w:styleId="Index">
    <w:name w:val="Index"/>
    <w:basedOn w:val="Normlny"/>
    <w:qFormat/>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basedOn w:val="Normlny"/>
    <w:link w:val="TextpoznmkypodiarouChar1"/>
    <w:uiPriority w:val="99"/>
    <w:qFormat/>
    <w:rsid w:val="00B60697"/>
    <w:rPr>
      <w:sz w:val="20"/>
      <w:szCs w:val="20"/>
    </w:rPr>
  </w:style>
  <w:style w:type="paragraph" w:styleId="Odsekzoznamu">
    <w:name w:val="List Paragraph"/>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a.s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index.php?navID=529&amp;id=6858"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F193FC-8AF8-45A7-B6E2-C9ECAB40D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21</Pages>
  <Words>8111</Words>
  <Characters>46235</Characters>
  <Application>Microsoft Office Word</Application>
  <DocSecurity>0</DocSecurity>
  <Lines>385</Lines>
  <Paragraphs>108</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54238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dc:description/>
  <cp:lastModifiedBy>Kužma Emil</cp:lastModifiedBy>
  <cp:revision>7</cp:revision>
  <cp:lastPrinted>2019-02-19T07:55:00Z</cp:lastPrinted>
  <dcterms:created xsi:type="dcterms:W3CDTF">2019-02-19T05:44:00Z</dcterms:created>
  <dcterms:modified xsi:type="dcterms:W3CDTF">2019-02-19T07:59:00Z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