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sprievodné podopatrenie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47A6">
            <w:pPr>
              <w:rPr>
                <w:rFonts w:ascii="Times New Roman" w:hAnsi="Times New Roman" w:cs="Times New Roman"/>
                <w:b/>
                <w:bCs/>
              </w:rPr>
            </w:pPr>
            <w:r w:rsidRPr="00DA47A6">
              <w:rPr>
                <w:rFonts w:ascii="Times New Roman" w:hAnsi="Times New Roman" w:cs="Times New Roman"/>
                <w:bCs/>
                <w:i/>
              </w:rPr>
              <w:t>Bryndziareň a syráreň, s.r.o. - pojazdné predajne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A47A6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DA47A6">
              <w:rPr>
                <w:rFonts w:ascii="Times New Roman" w:hAnsi="Times New Roman" w:cs="Times New Roman"/>
                <w:bCs/>
                <w:i/>
              </w:rPr>
              <w:t>Predmetom zákazky sú pojazdné predajne podľa technickej špecifikácie, ktorá je súčasťou súťažných podkladov 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A7DB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7DB7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DA47A6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14EB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2020-07-08T12:18:00Z</dcterms:modified>
</cp:coreProperties>
</file>