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D18" w:rsidRPr="002D4DF0" w:rsidRDefault="00730ECF" w:rsidP="00851D18">
      <w:pPr>
        <w:jc w:val="center"/>
        <w:rPr>
          <w:b/>
        </w:rPr>
      </w:pPr>
      <w:r w:rsidRPr="002D4DF0">
        <w:rPr>
          <w:rFonts w:asciiTheme="minorHAnsi" w:hAnsiTheme="minorHAnsi" w:cstheme="minorHAnsi"/>
          <w:b/>
          <w:sz w:val="24"/>
          <w:szCs w:val="24"/>
        </w:rPr>
        <w:t>Pô</w:t>
      </w:r>
      <w:r w:rsidR="00851D18" w:rsidRPr="002D4DF0">
        <w:rPr>
          <w:rFonts w:asciiTheme="minorHAnsi" w:hAnsiTheme="minorHAnsi" w:cstheme="minorHAnsi"/>
          <w:b/>
          <w:sz w:val="24"/>
          <w:szCs w:val="24"/>
        </w:rPr>
        <w:t xml:space="preserve">dohospodárska platobná agentúra (ďalej len „PPA“) si </w:t>
      </w:r>
      <w:r w:rsidRPr="002D4DF0">
        <w:rPr>
          <w:rFonts w:asciiTheme="minorHAnsi" w:hAnsiTheme="minorHAnsi" w:cstheme="minorHAnsi"/>
          <w:b/>
          <w:sz w:val="24"/>
          <w:szCs w:val="24"/>
        </w:rPr>
        <w:t xml:space="preserve">dovoľuje upozorniť žiadateľov/prijímateľov projektových podpôr na </w:t>
      </w:r>
      <w:r w:rsidR="00851D18" w:rsidRPr="002D4DF0">
        <w:rPr>
          <w:rFonts w:asciiTheme="minorHAnsi" w:hAnsiTheme="minorHAnsi" w:cstheme="minorHAnsi"/>
          <w:b/>
          <w:sz w:val="24"/>
          <w:szCs w:val="24"/>
        </w:rPr>
        <w:t>najčastejšie pochybenia zo strany žiadateľa pri podávaní ŽoNFP.</w:t>
      </w:r>
    </w:p>
    <w:p w:rsidR="00730ECF" w:rsidRPr="00611DF9" w:rsidRDefault="00CC5C90" w:rsidP="00CC5C90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Upozorňujeme</w:t>
      </w:r>
      <w:r w:rsidRPr="00CC5C90">
        <w:rPr>
          <w:rFonts w:asciiTheme="minorHAnsi" w:hAnsiTheme="minorHAnsi" w:cstheme="minorHAnsi"/>
          <w:sz w:val="22"/>
          <w:szCs w:val="22"/>
        </w:rPr>
        <w:t xml:space="preserve"> </w:t>
      </w:r>
      <w:r w:rsidRPr="00CC5C90">
        <w:rPr>
          <w:rFonts w:asciiTheme="minorHAnsi" w:hAnsiTheme="minorHAnsi" w:cstheme="minorHAnsi"/>
          <w:i/>
          <w:sz w:val="22"/>
          <w:szCs w:val="22"/>
          <w:u w:val="single"/>
        </w:rPr>
        <w:t xml:space="preserve">žiadateľa </w:t>
      </w:r>
      <w:r>
        <w:rPr>
          <w:rFonts w:asciiTheme="minorHAnsi" w:hAnsiTheme="minorHAnsi" w:cstheme="minorHAnsi"/>
          <w:sz w:val="22"/>
          <w:szCs w:val="22"/>
        </w:rPr>
        <w:t>na najčastejšie chyby, ktoré sa vyskytujú pri podávaní žiadosti o </w:t>
      </w:r>
      <w:r w:rsidRPr="00CC5C90">
        <w:rPr>
          <w:rFonts w:asciiTheme="minorHAnsi" w:hAnsiTheme="minorHAnsi" w:cstheme="minorHAnsi"/>
          <w:b/>
          <w:sz w:val="22"/>
          <w:szCs w:val="22"/>
          <w:u w:val="single"/>
        </w:rPr>
        <w:t>NFP - nenávratný finančný príspevok</w:t>
      </w:r>
      <w:r w:rsidR="000D7D51">
        <w:rPr>
          <w:rFonts w:asciiTheme="minorHAnsi" w:hAnsiTheme="minorHAnsi" w:cstheme="minorHAnsi"/>
          <w:sz w:val="22"/>
          <w:szCs w:val="22"/>
        </w:rPr>
        <w:t>:</w:t>
      </w:r>
    </w:p>
    <w:p w:rsidR="00730ECF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J</w:t>
      </w:r>
      <w:r w:rsidR="008A16D0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e potrebné, </w:t>
      </w:r>
      <w:r w:rsidR="00730ECF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aby mal žiadateľ bankový účet vedený na IČO a nie na rodné číslo</w:t>
      </w:r>
      <w:r w:rsidR="008A16D0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,</w:t>
      </w:r>
      <w:r w:rsidR="00730ECF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aj keď sa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jedná o SHR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P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rílohy, ktoré je potrebné vyplniť v programe Excel nezasielať v programe Word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P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red odoslaním ŽoNFP si skontrolovať platnosť elektronického podpisu, v prípade neplatného elektronického podpisu sa považuje žiadosť o nenávratný finančný </w:t>
      </w:r>
      <w:r w:rsidR="008A16D0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príspevok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za nepodanú riadne a konanie o žiadosti bude zastavené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P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lnomocenstvá a Udelenie súhlasu pre poskytnutie výpisu z </w:t>
      </w:r>
      <w:r w:rsidR="008A16D0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registra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trestov musí osoba oprávnená konať za žiadateľa (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štatutár/štatutári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v zmysle oprávnenia na podnikanie, splnomocnená osoba) podpisovať platným elektronickým podpisom a taktiež kolónka na doplnenie údaju číslo OP je povinná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A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k žiadateľ predloží akékoľvek potvrdenie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,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je potrebné aby obsahovalo pečiatky a podpisy, príp. el. podpis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K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PHZ je potrebné predložiť kompletný výstup.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, (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komunikácia oslovenia tj. odoslanie žiadost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i s technickou špecifikovanou na predmet obstarávania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a následná ponuka od osloveného subjektu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)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.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, Taktiež je potrebné správne vyplniť: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Záznam z prieskumu trhu s podpisom, pečiatkou a dátumom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N</w:t>
      </w:r>
      <w:r w:rsidR="002D4DF0">
        <w:rPr>
          <w:rFonts w:asciiTheme="minorHAnsi" w:eastAsia="Times New Roman" w:hAnsiTheme="minorHAnsi" w:cs="Times New Roman"/>
          <w:color w:val="000000"/>
          <w:sz w:val="22"/>
          <w:szCs w:val="22"/>
        </w:rPr>
        <w:t>es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právne zaradenie žiadateľa do menej rozvinutých regiónov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.,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resp. ostatných regiónov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N</w:t>
      </w:r>
      <w:r w:rsidR="002D4DF0">
        <w:rPr>
          <w:rFonts w:asciiTheme="minorHAnsi" w:eastAsia="Times New Roman" w:hAnsiTheme="minorHAnsi" w:cs="Times New Roman"/>
          <w:color w:val="000000"/>
          <w:sz w:val="22"/>
          <w:szCs w:val="22"/>
        </w:rPr>
        <w:t>es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právne priradenie výdavkov v rámci bodovacích kritérií na základe ich sumy oprávnených výdavkov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Ž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iadateľom o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nenávratný finančný 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príspevok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</w:t>
      </w:r>
      <w:r w:rsidR="002D4DF0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môžu byť,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fyzické a právnické osoby podnikajúce v poľnohospodárskej prvovýrobe. V rámci predmetu činnosti v oprávnení na podnikanie musia mať žiadatelia uvedenú poľnohospodársku činnosť v rámci prvovýroby ku dňu podania ŽoNFP. </w:t>
      </w:r>
      <w:r w:rsidR="00317532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Rovnako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to platí aj pri spracovateľoch, ktorí musia mať v predmete činností spracovanie ku dňu podania ŽoNFP</w:t>
      </w:r>
      <w:r w:rsidR="00611DF9" w:rsidRPr="00851D18">
        <w:rPr>
          <w:rFonts w:asciiTheme="minorHAnsi" w:hAnsiTheme="minorHAnsi" w:cstheme="minorHAnsi"/>
          <w:sz w:val="22"/>
          <w:szCs w:val="22"/>
        </w:rPr>
        <w:t>;</w:t>
      </w:r>
    </w:p>
    <w:p w:rsidR="00611DF9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Ž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iadatelia aj fyzické osoby - SHR musia mať aktivovanú elektronickú schránku ako právnické osoby na IČO. Zo strany projektových podpôr nie je možná komunikácia s elektronickou schránkou, ktorá je aktivo</w:t>
      </w:r>
      <w:r w:rsidR="00851D18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vaná na fyzickú osobu FO (meno, 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rodné číslo), čiže nie je možné zasielanie dokumentov (registrácia, výzva na doplnenie, rozhodnutie, zmluva o NFP)</w:t>
      </w:r>
      <w:r w:rsidR="00611DF9" w:rsidRPr="00851D18">
        <w:rPr>
          <w:rFonts w:asciiTheme="minorHAnsi" w:hAnsiTheme="minorHAnsi" w:cstheme="minorHAnsi"/>
          <w:sz w:val="22"/>
          <w:szCs w:val="22"/>
        </w:rPr>
        <w:t xml:space="preserve"> ;</w:t>
      </w:r>
    </w:p>
    <w:p w:rsidR="00730ECF" w:rsidRPr="00851D18" w:rsidRDefault="00CC5C90" w:rsidP="00CC5C90">
      <w:pPr>
        <w:pStyle w:val="Odsekzoznamu"/>
        <w:numPr>
          <w:ilvl w:val="0"/>
          <w:numId w:val="8"/>
        </w:numPr>
        <w:spacing w:after="0"/>
        <w:rPr>
          <w:rFonts w:asciiTheme="minorHAnsi" w:eastAsia="Times New Roman" w:hAnsiTheme="minorHAnsi" w:cs="Times New Roman"/>
          <w:color w:val="000000"/>
          <w:sz w:val="22"/>
          <w:szCs w:val="22"/>
        </w:rPr>
      </w:pPr>
      <w:r>
        <w:rPr>
          <w:rFonts w:asciiTheme="minorHAnsi" w:eastAsia="Times New Roman" w:hAnsiTheme="minorHAnsi" w:cs="Times New Roman"/>
          <w:color w:val="000000"/>
          <w:sz w:val="22"/>
          <w:szCs w:val="22"/>
        </w:rPr>
        <w:t>V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 rámci zefektívnenia vyhodnocovania ŽoNFP žiadatelia </w:t>
      </w:r>
      <w:r w:rsidR="002D4DF0">
        <w:rPr>
          <w:rFonts w:asciiTheme="minorHAnsi" w:eastAsia="Times New Roman" w:hAnsiTheme="minorHAnsi" w:cs="Times New Roman"/>
          <w:color w:val="000000"/>
          <w:sz w:val="22"/>
          <w:szCs w:val="22"/>
        </w:rPr>
        <w:t>ne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 xml:space="preserve">predkladajú všetky požadované povinné prílohy a </w:t>
      </w:r>
      <w:r w:rsidR="002D4DF0">
        <w:rPr>
          <w:rFonts w:asciiTheme="minorHAnsi" w:eastAsia="Times New Roman" w:hAnsiTheme="minorHAnsi" w:cs="Times New Roman"/>
          <w:color w:val="000000"/>
          <w:sz w:val="22"/>
          <w:szCs w:val="22"/>
        </w:rPr>
        <w:t>ne</w:t>
      </w:r>
      <w:r w:rsidR="00611DF9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vypĺňajú všetky údaje v rámci ž</w:t>
      </w:r>
      <w:r w:rsidR="008A16D0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iadosti ako aj povinných prílo</w:t>
      </w:r>
      <w:r w:rsidR="00851D18" w:rsidRPr="00851D18">
        <w:rPr>
          <w:rFonts w:asciiTheme="minorHAnsi" w:eastAsia="Times New Roman" w:hAnsiTheme="minorHAnsi" w:cs="Times New Roman"/>
          <w:color w:val="000000"/>
          <w:sz w:val="22"/>
          <w:szCs w:val="22"/>
        </w:rPr>
        <w:t>h</w:t>
      </w:r>
      <w:r w:rsidR="00851D18" w:rsidRPr="00851D18">
        <w:rPr>
          <w:rFonts w:asciiTheme="minorHAnsi" w:hAnsiTheme="minorHAnsi" w:cstheme="minorHAnsi"/>
          <w:sz w:val="22"/>
          <w:szCs w:val="22"/>
        </w:rPr>
        <w:t>;</w:t>
      </w:r>
    </w:p>
    <w:p w:rsidR="00730ECF" w:rsidRPr="00851D18" w:rsidRDefault="00730ECF" w:rsidP="008A16D0">
      <w:pPr>
        <w:spacing w:after="0"/>
        <w:rPr>
          <w:rFonts w:asciiTheme="minorHAnsi" w:hAnsiTheme="minorHAnsi" w:cstheme="minorHAnsi"/>
          <w:b/>
          <w:sz w:val="22"/>
          <w:szCs w:val="22"/>
        </w:rPr>
      </w:pPr>
    </w:p>
    <w:p w:rsidR="00730ECF" w:rsidRPr="00851D18" w:rsidRDefault="00730ECF" w:rsidP="008A16D0">
      <w:pPr>
        <w:spacing w:after="0"/>
        <w:rPr>
          <w:rFonts w:asciiTheme="minorHAnsi" w:hAnsiTheme="minorHAnsi" w:cstheme="minorHAnsi"/>
          <w:b/>
          <w:sz w:val="22"/>
          <w:szCs w:val="22"/>
        </w:rPr>
      </w:pPr>
      <w:r w:rsidRPr="00851D18">
        <w:rPr>
          <w:rFonts w:asciiTheme="minorHAnsi" w:hAnsiTheme="minorHAnsi" w:cstheme="minorHAnsi"/>
          <w:b/>
          <w:sz w:val="22"/>
          <w:szCs w:val="22"/>
        </w:rPr>
        <w:t>Zároveň dávame do pozornosti už aj skôr zverejnené upozornenia:</w:t>
      </w:r>
    </w:p>
    <w:p w:rsidR="00730ECF" w:rsidRPr="00851D18" w:rsidRDefault="00730ECF" w:rsidP="00730ECF">
      <w:pPr>
        <w:spacing w:after="0"/>
        <w:rPr>
          <w:rFonts w:asciiTheme="minorHAnsi" w:hAnsiTheme="minorHAnsi" w:cstheme="minorHAnsi"/>
          <w:b/>
          <w:sz w:val="22"/>
          <w:szCs w:val="22"/>
        </w:rPr>
      </w:pPr>
    </w:p>
    <w:p w:rsidR="004E0432" w:rsidRPr="00F56D0F" w:rsidRDefault="00F56D0F" w:rsidP="004E0432">
      <w:pPr>
        <w:pStyle w:val="Odsekzoznamu"/>
        <w:numPr>
          <w:ilvl w:val="0"/>
          <w:numId w:val="4"/>
        </w:numPr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  <w:hyperlink r:id="rId5" w:history="1">
        <w:r w:rsidR="004E0432" w:rsidRPr="007A1B48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https://www.apa.sk/clanok/upozornenie-ziadatelov-a-prijimatelov-na-povinnost-klast-zvyseny-doraz-na-kontrolu-a-prevenciu-vzniku-konfliktu-zaujmov-pri-vo-o/10334</w:t>
        </w:r>
      </w:hyperlink>
    </w:p>
    <w:p w:rsidR="00F56D0F" w:rsidRPr="007A1B48" w:rsidRDefault="00F56D0F" w:rsidP="00F56D0F">
      <w:pPr>
        <w:pStyle w:val="Odsekzoznamu"/>
        <w:rPr>
          <w:rFonts w:asciiTheme="minorHAnsi" w:hAnsiTheme="minorHAnsi" w:cstheme="minorHAnsi"/>
          <w:sz w:val="22"/>
          <w:szCs w:val="22"/>
        </w:rPr>
      </w:pPr>
    </w:p>
    <w:p w:rsidR="004E0432" w:rsidRPr="00F56D0F" w:rsidRDefault="00F56D0F" w:rsidP="004E0432">
      <w:pPr>
        <w:pStyle w:val="Odsekzoznamu"/>
        <w:numPr>
          <w:ilvl w:val="0"/>
          <w:numId w:val="4"/>
        </w:numPr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  <w:hyperlink r:id="rId6" w:history="1">
        <w:r w:rsidR="004E0432" w:rsidRPr="007A1B48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https://www.apa.sk/clanok/upozornenie-prijimatelov-na-povinnost-dodrziavat-lehoty-na-zaslanie-oznamenia-o-uzavreti-zmluvy-na-uvo/9947</w:t>
        </w:r>
      </w:hyperlink>
    </w:p>
    <w:p w:rsidR="00F56D0F" w:rsidRPr="00F56D0F" w:rsidRDefault="00F56D0F" w:rsidP="00F56D0F">
      <w:pPr>
        <w:pStyle w:val="Odsekzoznamu"/>
        <w:rPr>
          <w:rFonts w:asciiTheme="minorHAnsi" w:hAnsiTheme="minorHAnsi" w:cstheme="minorHAnsi"/>
          <w:sz w:val="22"/>
          <w:szCs w:val="22"/>
        </w:rPr>
      </w:pPr>
    </w:p>
    <w:p w:rsidR="00F56D0F" w:rsidRPr="007A1B48" w:rsidRDefault="00F56D0F" w:rsidP="00F56D0F">
      <w:pPr>
        <w:pStyle w:val="Odsekzoznamu"/>
        <w:rPr>
          <w:rFonts w:asciiTheme="minorHAnsi" w:hAnsiTheme="minorHAnsi" w:cstheme="minorHAnsi"/>
          <w:sz w:val="22"/>
          <w:szCs w:val="22"/>
        </w:rPr>
      </w:pPr>
    </w:p>
    <w:p w:rsidR="004E0432" w:rsidRPr="00F56D0F" w:rsidRDefault="00F56D0F" w:rsidP="004E0432">
      <w:pPr>
        <w:pStyle w:val="Odsekzoznamu"/>
        <w:numPr>
          <w:ilvl w:val="0"/>
          <w:numId w:val="4"/>
        </w:numPr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  <w:hyperlink r:id="rId7" w:history="1">
        <w:r w:rsidR="004E0432" w:rsidRPr="007A1B48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https://www.apa.sk/clanok/upozornenie-ppa-k-povinnosti-prijimatela-v-zmluve-s-dodavatelom-uvadzat-klauzulu-o-strpeni-kontroly-auditu-suvisiaceho-s-dodavanym-tovarom-sluzbami-a-stavebnymi-pracami-zo-strany-statnych-organov-resp/8841</w:t>
        </w:r>
      </w:hyperlink>
    </w:p>
    <w:p w:rsidR="00F56D0F" w:rsidRPr="007A1B48" w:rsidRDefault="00F56D0F" w:rsidP="00F56D0F">
      <w:pPr>
        <w:pStyle w:val="Odsekzoznamu"/>
        <w:rPr>
          <w:rFonts w:asciiTheme="minorHAnsi" w:hAnsiTheme="minorHAnsi" w:cstheme="minorHAnsi"/>
          <w:sz w:val="22"/>
          <w:szCs w:val="22"/>
        </w:rPr>
      </w:pPr>
    </w:p>
    <w:p w:rsidR="004E0432" w:rsidRPr="00F56D0F" w:rsidRDefault="00F56D0F" w:rsidP="004E0432">
      <w:pPr>
        <w:pStyle w:val="Odsekzoznamu"/>
        <w:numPr>
          <w:ilvl w:val="0"/>
          <w:numId w:val="4"/>
        </w:numPr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  <w:hyperlink r:id="rId8" w:history="1">
        <w:r w:rsidR="004E0432" w:rsidRPr="007A1B48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https://www.apa.sk/clanok/upozornenie-ziadatelov-a-prijimatelov-na-najcastejsie-zistovane-nedostatky-pocas-vykonu-kontrol-na-mieste-knm/8730</w:t>
        </w:r>
      </w:hyperlink>
    </w:p>
    <w:p w:rsidR="00F56D0F" w:rsidRPr="00F56D0F" w:rsidRDefault="00F56D0F" w:rsidP="00F56D0F">
      <w:pPr>
        <w:pStyle w:val="Odsekzoznamu"/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</w:p>
    <w:p w:rsidR="00F56D0F" w:rsidRPr="007A1B48" w:rsidRDefault="00F56D0F" w:rsidP="00F56D0F">
      <w:pPr>
        <w:pStyle w:val="Odsekzoznamu"/>
        <w:rPr>
          <w:rStyle w:val="Hypertextovprepojenie"/>
          <w:rFonts w:asciiTheme="minorHAnsi" w:hAnsiTheme="minorHAnsi" w:cstheme="minorHAnsi"/>
          <w:color w:val="auto"/>
          <w:sz w:val="22"/>
          <w:szCs w:val="22"/>
          <w:u w:val="none"/>
        </w:rPr>
      </w:pPr>
      <w:bookmarkStart w:id="0" w:name="_GoBack"/>
      <w:bookmarkEnd w:id="0"/>
    </w:p>
    <w:p w:rsidR="004E0432" w:rsidRPr="007A1B48" w:rsidRDefault="00F56D0F" w:rsidP="004E0432">
      <w:pPr>
        <w:pStyle w:val="Odsekzoznamu"/>
        <w:numPr>
          <w:ilvl w:val="0"/>
          <w:numId w:val="4"/>
        </w:numPr>
        <w:spacing w:after="0"/>
        <w:rPr>
          <w:rFonts w:asciiTheme="minorHAnsi" w:hAnsiTheme="minorHAnsi" w:cstheme="minorHAnsi"/>
          <w:sz w:val="22"/>
          <w:szCs w:val="22"/>
        </w:rPr>
      </w:pPr>
      <w:hyperlink r:id="rId9" w:history="1">
        <w:r w:rsidR="004E0432" w:rsidRPr="007A1B48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https://www.apa.sk/clanok/oznamenie-ppa-o-pochybeniach-v-ramci-vo-o/11436</w:t>
        </w:r>
      </w:hyperlink>
    </w:p>
    <w:p w:rsidR="0028025F" w:rsidRPr="00851D18" w:rsidRDefault="0028025F" w:rsidP="004E0432">
      <w:pPr>
        <w:pStyle w:val="Odsekzoznamu"/>
        <w:spacing w:after="0"/>
        <w:rPr>
          <w:rFonts w:asciiTheme="minorHAnsi" w:hAnsiTheme="minorHAnsi" w:cstheme="minorHAnsi"/>
          <w:sz w:val="22"/>
          <w:szCs w:val="22"/>
        </w:rPr>
      </w:pPr>
    </w:p>
    <w:sectPr w:rsidR="0028025F" w:rsidRPr="00851D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045AC"/>
    <w:multiLevelType w:val="hybridMultilevel"/>
    <w:tmpl w:val="FD4021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826295"/>
    <w:multiLevelType w:val="hybridMultilevel"/>
    <w:tmpl w:val="7B0043B8"/>
    <w:lvl w:ilvl="0" w:tplc="18F6EC9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C7213E"/>
    <w:multiLevelType w:val="hybridMultilevel"/>
    <w:tmpl w:val="0DD4E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F0395"/>
    <w:multiLevelType w:val="hybridMultilevel"/>
    <w:tmpl w:val="2AC8A3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FF2D68"/>
    <w:multiLevelType w:val="hybridMultilevel"/>
    <w:tmpl w:val="43DA841E"/>
    <w:lvl w:ilvl="0" w:tplc="18F6EC98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6A516F9"/>
    <w:multiLevelType w:val="hybridMultilevel"/>
    <w:tmpl w:val="734453CC"/>
    <w:lvl w:ilvl="0" w:tplc="18F6EC9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A97275"/>
    <w:multiLevelType w:val="hybridMultilevel"/>
    <w:tmpl w:val="6E66BD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A416F9"/>
    <w:multiLevelType w:val="hybridMultilevel"/>
    <w:tmpl w:val="FA8424E0"/>
    <w:lvl w:ilvl="0" w:tplc="18F6EC98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ECF"/>
    <w:rsid w:val="000D7D51"/>
    <w:rsid w:val="0028025F"/>
    <w:rsid w:val="002D4DF0"/>
    <w:rsid w:val="00317532"/>
    <w:rsid w:val="00486276"/>
    <w:rsid w:val="004E0432"/>
    <w:rsid w:val="00611DF9"/>
    <w:rsid w:val="00730ECF"/>
    <w:rsid w:val="00851D18"/>
    <w:rsid w:val="008A16D0"/>
    <w:rsid w:val="00CC5C90"/>
    <w:rsid w:val="00F5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3860"/>
  <w15:chartTrackingRefBased/>
  <w15:docId w15:val="{2CF84C85-EEB3-4BF8-8285-DF239C996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0ECF"/>
    <w:pPr>
      <w:spacing w:after="200" w:line="240" w:lineRule="auto"/>
      <w:jc w:val="both"/>
    </w:pPr>
    <w:rPr>
      <w:rFonts w:ascii="Georgia" w:eastAsia="Arial" w:hAnsi="Georgia" w:cs="Arial"/>
      <w:sz w:val="1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30ECF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30ECF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4DF0"/>
    <w:pPr>
      <w:spacing w:after="0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4DF0"/>
    <w:rPr>
      <w:rFonts w:ascii="Segoe UI" w:eastAsia="Arial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clanok/upozornenie-ziadatelov-a-prijimatelov-na-najcastejsie-zistovane-nedostatky-pocas-vykonu-kontrol-na-mieste-knm/873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clanok/upozornenie-ppa-k-povinnosti-prijimatela-v-zmluve-s-dodavatelom-uvadzat-klauzulu-o-strpeni-kontroly-auditu-suvisiaceho-s-dodavanym-tovarom-sluzbami-a-stavebnymi-pracami-zo-strany-statnych-organov-resp/88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clanok/upozornenie-prijimatelov-na-povinnost-dodrziavat-lehoty-na-zaslanie-oznamenia-o-uzavreti-zmluvy-na-uvo/994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apa.sk/clanok/upozornenie-ziadatelov-a-prijimatelov-na-povinnost-klast-zvyseny-doraz-na-kontrolu-a-prevenciu-vzniku-konfliktu-zaujmov-pri-vo-o/1033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apa.sk/clanok/oznamenie-ppa-o-pochybeniach-v-ramci-vo-o/11436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615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Uhlár René</dc:creator>
  <cp:keywords/>
  <dc:description/>
  <cp:lastModifiedBy>Uhlár René</cp:lastModifiedBy>
  <cp:revision>3</cp:revision>
  <cp:lastPrinted>2022-10-18T08:04:00Z</cp:lastPrinted>
  <dcterms:created xsi:type="dcterms:W3CDTF">2022-10-19T07:17:00Z</dcterms:created>
  <dcterms:modified xsi:type="dcterms:W3CDTF">2022-10-19T07:18:00Z</dcterms:modified>
</cp:coreProperties>
</file>