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273" w:rsidRDefault="005D4273"/>
    <w:p w:rsidR="009D7D66" w:rsidRDefault="009D7D66"/>
    <w:p w:rsidR="009D7D66" w:rsidRDefault="009D7D66" w:rsidP="009D7D66">
      <w:pPr>
        <w:pStyle w:val="Hlavika"/>
        <w:tabs>
          <w:tab w:val="clear" w:pos="4536"/>
          <w:tab w:val="left" w:pos="5670"/>
        </w:tabs>
        <w:rPr>
          <w:b/>
          <w:color w:val="000000"/>
          <w:sz w:val="15"/>
          <w:szCs w:val="15"/>
        </w:rPr>
      </w:pPr>
    </w:p>
    <w:p w:rsidR="009D7D66" w:rsidRPr="000134E3" w:rsidRDefault="009D7D66" w:rsidP="009D7D66">
      <w:pPr>
        <w:pStyle w:val="Hlavika"/>
        <w:tabs>
          <w:tab w:val="clear" w:pos="4536"/>
          <w:tab w:val="left" w:pos="5670"/>
        </w:tabs>
        <w:jc w:val="center"/>
        <w:rPr>
          <w:rFonts w:asciiTheme="minorHAnsi" w:hAnsiTheme="minorHAnsi"/>
          <w:b/>
          <w:color w:val="000000"/>
          <w:sz w:val="15"/>
          <w:szCs w:val="15"/>
        </w:rPr>
      </w:pPr>
      <w:r w:rsidRPr="000134E3">
        <w:rPr>
          <w:rFonts w:asciiTheme="minorHAnsi" w:hAnsiTheme="minorHAnsi"/>
          <w:noProof/>
          <w:color w:val="1F497D"/>
          <w:lang w:eastAsia="sk-SK"/>
        </w:rPr>
        <w:drawing>
          <wp:inline distT="0" distB="0" distL="0" distR="6985" wp14:anchorId="36515BC9" wp14:editId="6A3B0D67">
            <wp:extent cx="1440815" cy="980440"/>
            <wp:effectExtent l="0" t="0" r="0" b="0"/>
            <wp:docPr id="12" name="Obrázok 1" descr="flag_yellow_l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 descr="flag_yellow_low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980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7D66" w:rsidRPr="009D7D66" w:rsidRDefault="009D7D66" w:rsidP="009D7D66">
      <w:pPr>
        <w:spacing w:before="120"/>
        <w:jc w:val="center"/>
        <w:rPr>
          <w:rFonts w:asciiTheme="minorHAnsi" w:hAnsiTheme="minorHAnsi"/>
          <w:b/>
          <w:color w:val="000000"/>
          <w:sz w:val="20"/>
          <w:szCs w:val="15"/>
        </w:rPr>
      </w:pPr>
      <w:r w:rsidRPr="009D7D66">
        <w:rPr>
          <w:noProof/>
          <w:sz w:val="36"/>
          <w:lang w:eastAsia="sk-SK"/>
        </w:rPr>
        <w:drawing>
          <wp:anchor distT="114300" distB="114300" distL="114300" distR="114300" simplePos="0" relativeHeight="251659264" behindDoc="1" locked="0" layoutInCell="1" allowOverlap="1" wp14:anchorId="047467E8" wp14:editId="00C2D114">
            <wp:simplePos x="0" y="0"/>
            <wp:positionH relativeFrom="column">
              <wp:posOffset>3853433</wp:posOffset>
            </wp:positionH>
            <wp:positionV relativeFrom="paragraph">
              <wp:posOffset>834927</wp:posOffset>
            </wp:positionV>
            <wp:extent cx="1764983" cy="1288111"/>
            <wp:effectExtent l="0" t="0" r="6985" b="7620"/>
            <wp:wrapNone/>
            <wp:docPr id="11" name="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983" cy="12881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7D66">
        <w:rPr>
          <w:rFonts w:asciiTheme="minorHAnsi" w:hAnsiTheme="minorHAnsi"/>
          <w:b/>
          <w:color w:val="000000"/>
          <w:sz w:val="20"/>
          <w:szCs w:val="15"/>
        </w:rPr>
        <w:t>Európsky poľnohospodársky fond pre rozvoj vidieka: Európa investuje do vidieckych oblastí</w:t>
      </w: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rPr>
          <w:rFonts w:asciiTheme="minorHAnsi" w:hAnsiTheme="minorHAnsi"/>
          <w:b/>
          <w:color w:val="000000"/>
          <w:sz w:val="15"/>
          <w:szCs w:val="15"/>
        </w:rPr>
      </w:pPr>
      <w:r>
        <w:rPr>
          <w:noProof/>
          <w:sz w:val="22"/>
          <w:szCs w:val="22"/>
          <w:lang w:eastAsia="sk-SK"/>
        </w:rPr>
        <w:drawing>
          <wp:inline distT="0" distB="0" distL="0" distR="0" wp14:anchorId="7F035938" wp14:editId="3E82AD2F">
            <wp:extent cx="2132965" cy="885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logo_sk_MPRV.pn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048" b="28328"/>
                    <a:stretch/>
                  </pic:blipFill>
                  <pic:spPr bwMode="auto">
                    <a:xfrm>
                      <a:off x="0" y="0"/>
                      <a:ext cx="2132993" cy="8858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9D7D66" w:rsidRDefault="009D7D66" w:rsidP="004D26D5">
      <w:pPr>
        <w:jc w:val="both"/>
        <w:rPr>
          <w:rFonts w:asciiTheme="minorHAnsi" w:hAnsiTheme="minorHAnsi" w:cstheme="minorHAnsi"/>
          <w:b/>
          <w:sz w:val="32"/>
          <w:szCs w:val="32"/>
        </w:rPr>
      </w:pPr>
      <w:r w:rsidRPr="009D7D66">
        <w:rPr>
          <w:rFonts w:asciiTheme="minorHAnsi" w:hAnsiTheme="minorHAnsi" w:cstheme="minorHAnsi"/>
          <w:b/>
          <w:sz w:val="32"/>
          <w:szCs w:val="32"/>
        </w:rPr>
        <w:t>Dodatok č. 1 k Príručke pre prijímateľa nenávratného finančného príspevku z Programu rozvoja vidieka</w:t>
      </w:r>
      <w:r>
        <w:rPr>
          <w:rFonts w:asciiTheme="minorHAnsi" w:hAnsiTheme="minorHAnsi" w:cstheme="minorHAnsi"/>
          <w:b/>
          <w:sz w:val="32"/>
          <w:szCs w:val="32"/>
        </w:rPr>
        <w:t xml:space="preserve"> SR</w:t>
      </w:r>
      <w:r w:rsidRPr="009D7D66">
        <w:rPr>
          <w:rFonts w:asciiTheme="minorHAnsi" w:hAnsiTheme="minorHAnsi" w:cstheme="minorHAnsi"/>
          <w:b/>
          <w:sz w:val="32"/>
          <w:szCs w:val="32"/>
        </w:rPr>
        <w:t xml:space="preserve"> 2014 – 2020, verzia 03</w:t>
      </w:r>
    </w:p>
    <w:p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4D26D5" w:rsidRDefault="004D26D5" w:rsidP="009D7D66">
      <w:pPr>
        <w:rPr>
          <w:rFonts w:asciiTheme="minorHAnsi" w:hAnsiTheme="minorHAnsi" w:cstheme="minorHAnsi"/>
          <w:b/>
          <w:szCs w:val="22"/>
        </w:rPr>
      </w:pPr>
    </w:p>
    <w:p w:rsidR="009D7D66" w:rsidRPr="009D7D66" w:rsidRDefault="009D7D66" w:rsidP="009D7D66">
      <w:pPr>
        <w:rPr>
          <w:rFonts w:asciiTheme="minorHAnsi" w:hAnsiTheme="minorHAnsi" w:cstheme="minorHAnsi"/>
          <w:b/>
          <w:szCs w:val="22"/>
        </w:rPr>
      </w:pPr>
      <w:r w:rsidRPr="009D7D66">
        <w:rPr>
          <w:rFonts w:asciiTheme="minorHAnsi" w:hAnsiTheme="minorHAnsi" w:cstheme="minorHAnsi"/>
          <w:b/>
          <w:szCs w:val="22"/>
        </w:rPr>
        <w:t>Účinnosť od: 06.12.2022</w:t>
      </w:r>
    </w:p>
    <w:p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9D7D66" w:rsidRPr="009D7D66" w:rsidRDefault="009D7D66" w:rsidP="009D7D66">
      <w:pPr>
        <w:spacing w:after="200"/>
        <w:rPr>
          <w:rFonts w:asciiTheme="minorHAnsi" w:hAnsiTheme="minorHAnsi" w:cstheme="minorHAnsi"/>
          <w:b/>
        </w:rPr>
      </w:pPr>
      <w:r w:rsidRPr="009D7D66">
        <w:rPr>
          <w:rFonts w:asciiTheme="minorHAnsi" w:hAnsiTheme="minorHAnsi" w:cstheme="minorHAnsi"/>
          <w:b/>
        </w:rPr>
        <w:t>Vypracoval:</w:t>
      </w:r>
      <w:r>
        <w:rPr>
          <w:rFonts w:asciiTheme="minorHAnsi" w:hAnsiTheme="minorHAnsi" w:cstheme="minorHAnsi"/>
          <w:b/>
        </w:rPr>
        <w:tab/>
      </w:r>
      <w:r w:rsidRPr="009D7D66">
        <w:rPr>
          <w:rFonts w:asciiTheme="minorHAnsi" w:hAnsiTheme="minorHAnsi" w:cstheme="minorHAnsi"/>
          <w:b/>
        </w:rPr>
        <w:t>Pôdohospodárska platobná agentúra, zastúpená</w:t>
      </w:r>
    </w:p>
    <w:p w:rsidR="009D7D66" w:rsidRPr="009D7D66" w:rsidRDefault="009D7D66" w:rsidP="009D7D66">
      <w:pPr>
        <w:ind w:left="708" w:firstLine="708"/>
        <w:rPr>
          <w:rFonts w:asciiTheme="minorHAnsi" w:hAnsiTheme="minorHAnsi" w:cstheme="minorHAnsi"/>
        </w:rPr>
      </w:pPr>
      <w:r w:rsidRPr="009D7D66">
        <w:rPr>
          <w:rFonts w:asciiTheme="minorHAnsi" w:hAnsiTheme="minorHAnsi" w:cstheme="minorHAnsi"/>
        </w:rPr>
        <w:t>Mgr. Jozefom Kissom, MA, generálnym riaditeľom</w:t>
      </w:r>
    </w:p>
    <w:p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9D7D66" w:rsidRDefault="009D7D66" w:rsidP="009D7D66">
      <w:pPr>
        <w:jc w:val="center"/>
      </w:pPr>
    </w:p>
    <w:p w:rsidR="009D7D66" w:rsidRDefault="009D7D66" w:rsidP="009D7D66">
      <w:pPr>
        <w:jc w:val="center"/>
      </w:pPr>
    </w:p>
    <w:p w:rsidR="009D7D66" w:rsidRDefault="009D7D66" w:rsidP="009D7D66">
      <w:pPr>
        <w:jc w:val="center"/>
      </w:pPr>
    </w:p>
    <w:p w:rsidR="009D7D66" w:rsidRDefault="009D7D66" w:rsidP="009D7D66">
      <w:pPr>
        <w:jc w:val="center"/>
      </w:pPr>
    </w:p>
    <w:p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:rsidR="009D7D66" w:rsidRDefault="009D7D66" w:rsidP="009D7D66">
      <w:pPr>
        <w:jc w:val="center"/>
        <w:rPr>
          <w:rFonts w:asciiTheme="minorHAnsi" w:hAnsiTheme="minorHAnsi" w:cstheme="minorHAnsi"/>
          <w:lang w:eastAsia="en-US"/>
        </w:rPr>
      </w:pPr>
    </w:p>
    <w:p w:rsidR="009D7D66" w:rsidRP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9D7D66">
        <w:rPr>
          <w:rFonts w:asciiTheme="minorHAnsi" w:hAnsiTheme="minorHAnsi" w:cstheme="minorHAnsi"/>
          <w:lang w:eastAsia="en-US"/>
        </w:rPr>
        <w:t>Bratislava 2022</w:t>
      </w:r>
    </w:p>
    <w:p w:rsidR="009D7D66" w:rsidRDefault="009D7D66" w:rsidP="009D7D66">
      <w:pPr>
        <w:jc w:val="center"/>
        <w:rPr>
          <w:rFonts w:asciiTheme="minorHAnsi" w:hAnsiTheme="minorHAnsi" w:cstheme="minorHAnsi"/>
          <w:b/>
          <w:sz w:val="32"/>
          <w:szCs w:val="32"/>
        </w:rPr>
      </w:pPr>
    </w:p>
    <w:p w:rsidR="009D7D66" w:rsidRPr="009D7D66" w:rsidRDefault="009D7D66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9D7D66">
        <w:rPr>
          <w:rFonts w:asciiTheme="minorHAnsi" w:hAnsiTheme="minorHAnsi" w:cstheme="minorHAnsi"/>
          <w:b/>
        </w:rPr>
        <w:t>Článok 1</w:t>
      </w:r>
    </w:p>
    <w:p w:rsidR="009D7D66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Dodatkom č. 1 k </w:t>
      </w:r>
      <w:r w:rsidR="009D7D66" w:rsidRPr="006558F4">
        <w:rPr>
          <w:rFonts w:asciiTheme="minorHAnsi" w:hAnsiTheme="minorHAnsi" w:cstheme="minorHAnsi"/>
          <w:sz w:val="22"/>
        </w:rPr>
        <w:t xml:space="preserve">Príručke pre prijímateľa nenávratného finančného príspevku z </w:t>
      </w:r>
      <w:r w:rsidR="00A225DE" w:rsidRPr="006558F4">
        <w:rPr>
          <w:rFonts w:asciiTheme="minorHAnsi" w:hAnsiTheme="minorHAnsi" w:cstheme="minorHAnsi"/>
          <w:sz w:val="22"/>
        </w:rPr>
        <w:t>Programu rozvoja vidieka</w:t>
      </w:r>
      <w:r w:rsidR="009D7D66" w:rsidRPr="006558F4">
        <w:rPr>
          <w:rFonts w:asciiTheme="minorHAnsi" w:hAnsiTheme="minorHAnsi" w:cstheme="minorHAnsi"/>
          <w:sz w:val="22"/>
        </w:rPr>
        <w:t xml:space="preserve"> SR 2014 – 2022, verzi</w:t>
      </w:r>
      <w:r w:rsidR="00141D95">
        <w:rPr>
          <w:rFonts w:asciiTheme="minorHAnsi" w:hAnsiTheme="minorHAnsi" w:cstheme="minorHAnsi"/>
          <w:sz w:val="22"/>
        </w:rPr>
        <w:t>a</w:t>
      </w:r>
      <w:r w:rsidR="009D7D66" w:rsidRPr="006558F4">
        <w:rPr>
          <w:rFonts w:asciiTheme="minorHAnsi" w:hAnsiTheme="minorHAnsi" w:cstheme="minorHAnsi"/>
          <w:sz w:val="22"/>
        </w:rPr>
        <w:t xml:space="preserve"> 03 sa mení kapitola 13. INFORMOVANIE O PROJEKTOCH VO FÁZE IMPLEMENTÁCIE na nasledovné znenie:</w:t>
      </w:r>
    </w:p>
    <w:p w:rsidR="006558F4" w:rsidRPr="006558F4" w:rsidRDefault="006558F4" w:rsidP="006558F4">
      <w:pPr>
        <w:pStyle w:val="Odsekzoznamu"/>
        <w:numPr>
          <w:ilvl w:val="0"/>
          <w:numId w:val="2"/>
        </w:numPr>
        <w:autoSpaceDE w:val="0"/>
        <w:autoSpaceDN w:val="0"/>
        <w:spacing w:before="120" w:after="120"/>
        <w:ind w:left="567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>Prijímateľ je povinný zabezpečiť priebežnú elektronickú komunikáciu preukazujúcu realizáciu projektu a to zaslaním fotodokumentácie a </w:t>
      </w:r>
      <w:proofErr w:type="spellStart"/>
      <w:r w:rsidRPr="006558F4">
        <w:rPr>
          <w:rFonts w:asciiTheme="minorHAnsi" w:hAnsiTheme="minorHAnsi" w:cstheme="minorHAnsi"/>
          <w:sz w:val="22"/>
        </w:rPr>
        <w:t>skenov</w:t>
      </w:r>
      <w:proofErr w:type="spellEnd"/>
      <w:r w:rsidRPr="006558F4">
        <w:rPr>
          <w:rFonts w:asciiTheme="minorHAnsi" w:hAnsiTheme="minorHAnsi" w:cstheme="minorHAnsi"/>
          <w:sz w:val="22"/>
        </w:rPr>
        <w:t xml:space="preserve"> stavebného denníka prostredníctvom formulára zverejneného na stránke </w:t>
      </w:r>
      <w:hyperlink r:id="rId10" w:history="1">
        <w:r w:rsidRPr="006558F4">
          <w:rPr>
            <w:rStyle w:val="Hypertextovprepojenie"/>
            <w:rFonts w:asciiTheme="minorHAnsi" w:hAnsiTheme="minorHAnsi" w:cstheme="minorHAnsi"/>
            <w:sz w:val="22"/>
          </w:rPr>
          <w:t>slovensko.sk</w:t>
        </w:r>
      </w:hyperlink>
      <w:r w:rsidRPr="006558F4">
        <w:rPr>
          <w:rFonts w:asciiTheme="minorHAnsi" w:hAnsiTheme="minorHAnsi" w:cstheme="minorHAnsi"/>
          <w:sz w:val="22"/>
        </w:rPr>
        <w:t xml:space="preserve"> v časovom intervale definovanom ukončením jednotlivých etáp v rámci procesu realizácie výstavby/rekonštrukcie v ods. 2. Žiadateľ do formulára uvedie v predmete správy kód projektu. Prijímateľ bude uvedenú informačnú povinnosť dokladovať poskytovateľovi v zmysle podmienok nastavených v Zmluve aj za aktivity vykonané pred nadobudnutím účinnosti Zmluvy.</w:t>
      </w:r>
    </w:p>
    <w:p w:rsidR="006558F4" w:rsidRPr="006558F4" w:rsidRDefault="006558F4" w:rsidP="006558F4">
      <w:pPr>
        <w:pStyle w:val="Odsekzoznamu"/>
        <w:numPr>
          <w:ilvl w:val="0"/>
          <w:numId w:val="2"/>
        </w:numPr>
        <w:spacing w:before="120" w:after="120"/>
        <w:ind w:left="567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>Pre stavebné práce vo výške nad 50.000,- Eur vrátane je prijímateľ povinný súhrnne zaznamenať geografické údaje (teda polohu) pomocou GPS prijímača vyhotovením fotodokumentácie a takto vyhotovenú fotodokumentáciu predkladať v rámci procesu realizácie novej výstavby/rekonštrukcie v rámci hlavných stavebných prác po ukončení každej z nižšie</w:t>
      </w:r>
      <w:r w:rsidRPr="006558F4">
        <w:rPr>
          <w:rFonts w:asciiTheme="minorHAnsi" w:hAnsiTheme="minorHAnsi" w:cstheme="minorHAnsi"/>
          <w:sz w:val="22"/>
          <w:u w:val="single"/>
        </w:rPr>
        <w:t xml:space="preserve"> uvedených etáp</w:t>
      </w:r>
      <w:r w:rsidRPr="006558F4">
        <w:rPr>
          <w:rFonts w:asciiTheme="minorHAnsi" w:hAnsiTheme="minorHAnsi" w:cstheme="minorHAnsi"/>
          <w:sz w:val="22"/>
        </w:rPr>
        <w:t xml:space="preserve"> (tzv. </w:t>
      </w:r>
      <w:proofErr w:type="spellStart"/>
      <w:r w:rsidRPr="006558F4">
        <w:rPr>
          <w:rFonts w:asciiTheme="minorHAnsi" w:hAnsiTheme="minorHAnsi" w:cstheme="minorHAnsi"/>
          <w:sz w:val="22"/>
        </w:rPr>
        <w:t>geotagging</w:t>
      </w:r>
      <w:proofErr w:type="spellEnd"/>
      <w:r w:rsidRPr="006558F4">
        <w:rPr>
          <w:rFonts w:asciiTheme="minorHAnsi" w:hAnsiTheme="minorHAnsi" w:cstheme="minorHAnsi"/>
          <w:sz w:val="22"/>
        </w:rPr>
        <w:t>) nasledovne:</w:t>
      </w:r>
      <w:r w:rsidRPr="006558F4">
        <w:rPr>
          <w:rFonts w:asciiTheme="minorHAnsi" w:hAnsiTheme="minorHAnsi" w:cstheme="minorHAnsi"/>
          <w:b/>
          <w:sz w:val="22"/>
        </w:rPr>
        <w:t xml:space="preserve"> </w:t>
      </w:r>
    </w:p>
    <w:p w:rsidR="006558F4" w:rsidRPr="006558F4" w:rsidRDefault="006558F4" w:rsidP="006558F4">
      <w:pPr>
        <w:pStyle w:val="Odsekzoznamu"/>
        <w:numPr>
          <w:ilvl w:val="1"/>
          <w:numId w:val="1"/>
        </w:numPr>
        <w:spacing w:before="60" w:after="60"/>
        <w:ind w:left="1134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  <w:u w:val="single"/>
        </w:rPr>
        <w:t>1. etapa</w:t>
      </w:r>
      <w:r w:rsidRPr="006558F4">
        <w:rPr>
          <w:rFonts w:asciiTheme="minorHAnsi" w:hAnsiTheme="minorHAnsi" w:cstheme="minorHAnsi"/>
          <w:sz w:val="22"/>
        </w:rPr>
        <w:t xml:space="preserve">: </w:t>
      </w:r>
      <w:r w:rsidRPr="006558F4">
        <w:rPr>
          <w:rFonts w:asciiTheme="minorHAnsi" w:hAnsiTheme="minorHAnsi" w:cstheme="minorHAnsi"/>
          <w:b/>
          <w:sz w:val="22"/>
        </w:rPr>
        <w:t>Zemné práce</w:t>
      </w:r>
      <w:r w:rsidRPr="006558F4">
        <w:rPr>
          <w:rFonts w:asciiTheme="minorHAnsi" w:hAnsiTheme="minorHAnsi" w:cstheme="minorHAnsi"/>
          <w:sz w:val="22"/>
        </w:rPr>
        <w:t xml:space="preserve"> – fotodokumentácia musí preukazovať realizáciu položiek: vyznačenie staveniska; základy - výkopové práce; presun zeminy, odvoz na skládku a poplatok za uloženie zeminy; betónové pásy a prúty oceľovej výstuže - armovanie; podložie pod základovou doskou; debnenie základovej dosky a výstuž vodorovnej podkladovej dosky – armovanie (napr. siete </w:t>
      </w:r>
      <w:proofErr w:type="spellStart"/>
      <w:r w:rsidRPr="006558F4">
        <w:rPr>
          <w:rFonts w:asciiTheme="minorHAnsi" w:hAnsiTheme="minorHAnsi" w:cstheme="minorHAnsi"/>
          <w:sz w:val="22"/>
        </w:rPr>
        <w:t>kari</w:t>
      </w:r>
      <w:proofErr w:type="spellEnd"/>
      <w:r w:rsidRPr="006558F4">
        <w:rPr>
          <w:rFonts w:asciiTheme="minorHAnsi" w:hAnsiTheme="minorHAnsi" w:cstheme="minorHAnsi"/>
          <w:sz w:val="22"/>
        </w:rPr>
        <w:t>, betonárska výstuž) a betón podľa pevnostných tried betónu (STN)</w:t>
      </w:r>
    </w:p>
    <w:p w:rsidR="006558F4" w:rsidRPr="006558F4" w:rsidRDefault="006558F4" w:rsidP="006558F4">
      <w:pPr>
        <w:pStyle w:val="Odsekzoznamu"/>
        <w:numPr>
          <w:ilvl w:val="1"/>
          <w:numId w:val="1"/>
        </w:numPr>
        <w:spacing w:before="60" w:after="60"/>
        <w:ind w:left="1134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  <w:u w:val="single"/>
        </w:rPr>
        <w:t>2. etapa</w:t>
      </w:r>
      <w:r w:rsidRPr="006558F4">
        <w:rPr>
          <w:rFonts w:asciiTheme="minorHAnsi" w:hAnsiTheme="minorHAnsi" w:cstheme="minorHAnsi"/>
          <w:sz w:val="22"/>
        </w:rPr>
        <w:t xml:space="preserve">: </w:t>
      </w:r>
      <w:r w:rsidRPr="006558F4">
        <w:rPr>
          <w:rFonts w:asciiTheme="minorHAnsi" w:hAnsiTheme="minorHAnsi" w:cstheme="minorHAnsi"/>
          <w:b/>
          <w:sz w:val="22"/>
        </w:rPr>
        <w:t>Zvislé konštrukcie</w:t>
      </w:r>
      <w:r w:rsidRPr="006558F4">
        <w:rPr>
          <w:rFonts w:asciiTheme="minorHAnsi" w:hAnsiTheme="minorHAnsi" w:cstheme="minorHAnsi"/>
          <w:sz w:val="22"/>
        </w:rPr>
        <w:t xml:space="preserve"> – fotodokumentácia musí preukazovať realizáciu položiek: vymurovanie obvodových stien a vnútorných nosných prekladov; vymurovanie vnútorných priečok - nenosné preklady; vymurovanie komína a ostatných konštrukcií</w:t>
      </w:r>
    </w:p>
    <w:p w:rsidR="006558F4" w:rsidRPr="006558F4" w:rsidRDefault="006558F4" w:rsidP="006558F4">
      <w:pPr>
        <w:pStyle w:val="Odsekzoznamu"/>
        <w:numPr>
          <w:ilvl w:val="1"/>
          <w:numId w:val="1"/>
        </w:numPr>
        <w:spacing w:before="60" w:after="60"/>
        <w:ind w:left="1134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>3</w:t>
      </w:r>
      <w:r w:rsidRPr="006558F4">
        <w:rPr>
          <w:rFonts w:asciiTheme="minorHAnsi" w:hAnsiTheme="minorHAnsi" w:cstheme="minorHAnsi"/>
          <w:sz w:val="22"/>
          <w:u w:val="single"/>
        </w:rPr>
        <w:t>. etapa:</w:t>
      </w:r>
      <w:r w:rsidRPr="006558F4">
        <w:rPr>
          <w:rFonts w:asciiTheme="minorHAnsi" w:hAnsiTheme="minorHAnsi" w:cstheme="minorHAnsi"/>
          <w:sz w:val="22"/>
        </w:rPr>
        <w:t xml:space="preserve"> </w:t>
      </w:r>
      <w:r w:rsidRPr="006558F4">
        <w:rPr>
          <w:rFonts w:asciiTheme="minorHAnsi" w:hAnsiTheme="minorHAnsi" w:cstheme="minorHAnsi"/>
          <w:b/>
          <w:sz w:val="22"/>
        </w:rPr>
        <w:t>Vodorovné nosné konštrukcie</w:t>
      </w:r>
      <w:r w:rsidRPr="006558F4">
        <w:rPr>
          <w:rFonts w:asciiTheme="minorHAnsi" w:hAnsiTheme="minorHAnsi" w:cstheme="minorHAnsi"/>
          <w:sz w:val="22"/>
        </w:rPr>
        <w:t xml:space="preserve"> </w:t>
      </w:r>
      <w:r w:rsidRPr="006558F4">
        <w:rPr>
          <w:rFonts w:asciiTheme="minorHAnsi" w:hAnsiTheme="minorHAnsi" w:cstheme="minorHAnsi"/>
          <w:b/>
          <w:sz w:val="22"/>
        </w:rPr>
        <w:t>(stropy)</w:t>
      </w:r>
      <w:r w:rsidRPr="006558F4">
        <w:rPr>
          <w:rFonts w:asciiTheme="minorHAnsi" w:hAnsiTheme="minorHAnsi" w:cstheme="minorHAnsi"/>
          <w:sz w:val="22"/>
        </w:rPr>
        <w:t xml:space="preserve"> - fotodokumentácia musí preukazovať realizáciu položiek: debnenie stropu, debnenie venca, debnenie prekladov, debnenie schodiska; prúty oceľovej výstuže </w:t>
      </w:r>
      <w:r w:rsidR="004D26D5">
        <w:rPr>
          <w:rFonts w:asciiTheme="minorHAnsi" w:hAnsiTheme="minorHAnsi" w:cstheme="minorHAnsi"/>
          <w:sz w:val="22"/>
        </w:rPr>
        <w:t>– armovanie, betón podľa</w:t>
      </w:r>
      <w:r w:rsidRPr="006558F4">
        <w:rPr>
          <w:rFonts w:asciiTheme="minorHAnsi" w:hAnsiTheme="minorHAnsi" w:cstheme="minorHAnsi"/>
          <w:sz w:val="22"/>
        </w:rPr>
        <w:t xml:space="preserve"> pevnostnej triedy (STN)</w:t>
      </w:r>
    </w:p>
    <w:p w:rsidR="006558F4" w:rsidRPr="006558F4" w:rsidRDefault="006558F4" w:rsidP="006558F4">
      <w:pPr>
        <w:pStyle w:val="Odsekzoznamu"/>
        <w:numPr>
          <w:ilvl w:val="1"/>
          <w:numId w:val="1"/>
        </w:numPr>
        <w:spacing w:before="60" w:after="60"/>
        <w:ind w:left="1134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  <w:u w:val="single"/>
        </w:rPr>
        <w:t>4. etapa</w:t>
      </w:r>
      <w:r w:rsidRPr="006558F4">
        <w:rPr>
          <w:rFonts w:asciiTheme="minorHAnsi" w:hAnsiTheme="minorHAnsi" w:cstheme="minorHAnsi"/>
          <w:sz w:val="22"/>
        </w:rPr>
        <w:t xml:space="preserve">: </w:t>
      </w:r>
      <w:r w:rsidRPr="006558F4">
        <w:rPr>
          <w:rFonts w:asciiTheme="minorHAnsi" w:hAnsiTheme="minorHAnsi" w:cstheme="minorHAnsi"/>
          <w:b/>
          <w:sz w:val="22"/>
        </w:rPr>
        <w:t>Rúrové konštrukcie, inštalácie a rozvody</w:t>
      </w:r>
      <w:r w:rsidRPr="006558F4">
        <w:rPr>
          <w:rFonts w:asciiTheme="minorHAnsi" w:hAnsiTheme="minorHAnsi" w:cstheme="minorHAnsi"/>
          <w:sz w:val="22"/>
        </w:rPr>
        <w:t xml:space="preserve"> – fotodokumentácia musí preukazovať: kanalizačné rozvody a prípojku vody v základovej (vodorovnej podkladovej) doske; elektrické rozvádzače (príp. prípojková skriňa) a rozvody pevnej elektrickej inštalácie zabudované pod omietkou, v dutých stenách, v betóne a v stropných a v podlahových dutinách; plynová inštalácia a zabudované plynové rozvody;</w:t>
      </w:r>
    </w:p>
    <w:p w:rsidR="006558F4" w:rsidRPr="006558F4" w:rsidRDefault="006558F4" w:rsidP="006558F4">
      <w:pPr>
        <w:pStyle w:val="Odsekzoznamu"/>
        <w:numPr>
          <w:ilvl w:val="1"/>
          <w:numId w:val="1"/>
        </w:numPr>
        <w:spacing w:before="60" w:after="60"/>
        <w:ind w:left="1134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  <w:u w:val="single"/>
        </w:rPr>
        <w:t>5. etapa</w:t>
      </w:r>
      <w:r w:rsidRPr="006558F4">
        <w:rPr>
          <w:rFonts w:asciiTheme="minorHAnsi" w:hAnsiTheme="minorHAnsi" w:cstheme="minorHAnsi"/>
          <w:sz w:val="22"/>
        </w:rPr>
        <w:t xml:space="preserve">: </w:t>
      </w:r>
      <w:r w:rsidRPr="006558F4">
        <w:rPr>
          <w:rFonts w:asciiTheme="minorHAnsi" w:hAnsiTheme="minorHAnsi" w:cstheme="minorHAnsi"/>
          <w:b/>
          <w:sz w:val="22"/>
        </w:rPr>
        <w:t>Úprava povrchov a podlahy konštrukcií</w:t>
      </w:r>
      <w:r w:rsidRPr="006558F4">
        <w:rPr>
          <w:rFonts w:asciiTheme="minorHAnsi" w:hAnsiTheme="minorHAnsi" w:cstheme="minorHAnsi"/>
          <w:sz w:val="22"/>
        </w:rPr>
        <w:t xml:space="preserve"> – fotodokumentácia musí preukazovať realizáciu položiek vnútorné omietky, stropné omietky, vonkajšie omietky a podhľady; zateplenie obvodových stien, silikónovú omietku a </w:t>
      </w:r>
      <w:proofErr w:type="spellStart"/>
      <w:r w:rsidRPr="006558F4">
        <w:rPr>
          <w:rFonts w:asciiTheme="minorHAnsi" w:hAnsiTheme="minorHAnsi" w:cstheme="minorHAnsi"/>
          <w:sz w:val="22"/>
        </w:rPr>
        <w:t>penetráciu</w:t>
      </w:r>
      <w:proofErr w:type="spellEnd"/>
      <w:r w:rsidRPr="006558F4">
        <w:rPr>
          <w:rFonts w:asciiTheme="minorHAnsi" w:hAnsiTheme="minorHAnsi" w:cstheme="minorHAnsi"/>
          <w:sz w:val="22"/>
        </w:rPr>
        <w:t xml:space="preserve">; podlahovú fóliu a cementový poter; </w:t>
      </w:r>
    </w:p>
    <w:p w:rsidR="006558F4" w:rsidRPr="006558F4" w:rsidRDefault="006558F4" w:rsidP="006558F4">
      <w:pPr>
        <w:pStyle w:val="Odsekzoznamu"/>
        <w:numPr>
          <w:ilvl w:val="1"/>
          <w:numId w:val="1"/>
        </w:numPr>
        <w:spacing w:before="60" w:after="60"/>
        <w:ind w:left="1134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  <w:u w:val="single"/>
        </w:rPr>
        <w:t>6. etapa</w:t>
      </w:r>
      <w:r w:rsidRPr="006558F4">
        <w:rPr>
          <w:rFonts w:asciiTheme="minorHAnsi" w:hAnsiTheme="minorHAnsi" w:cstheme="minorHAnsi"/>
          <w:sz w:val="22"/>
        </w:rPr>
        <w:t xml:space="preserve">: </w:t>
      </w:r>
      <w:r w:rsidRPr="006558F4">
        <w:rPr>
          <w:rFonts w:asciiTheme="minorHAnsi" w:hAnsiTheme="minorHAnsi" w:cstheme="minorHAnsi"/>
          <w:b/>
          <w:sz w:val="22"/>
        </w:rPr>
        <w:t>Ostatné konštrukcie</w:t>
      </w:r>
      <w:r w:rsidRPr="006558F4">
        <w:rPr>
          <w:rFonts w:asciiTheme="minorHAnsi" w:hAnsiTheme="minorHAnsi" w:cstheme="minorHAnsi"/>
          <w:sz w:val="22"/>
        </w:rPr>
        <w:t xml:space="preserve"> – fotodokumentácia musí preukazovať realizáciu položiek dodanie a montáž lešenia pre vonkajšie ako aj vnútorné priestory; dodanie a montáž stavebnej (napr. omietkovej) lišty; presun hmôt; preprava materiálu na stave a preprava strojov.</w:t>
      </w:r>
    </w:p>
    <w:p w:rsidR="006558F4" w:rsidRPr="006558F4" w:rsidRDefault="006558F4" w:rsidP="006558F4">
      <w:pPr>
        <w:spacing w:after="120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6558F4">
        <w:rPr>
          <w:rFonts w:asciiTheme="minorHAnsi" w:hAnsiTheme="minorHAnsi" w:cstheme="minorHAnsi"/>
          <w:sz w:val="22"/>
          <w:szCs w:val="22"/>
        </w:rPr>
        <w:t xml:space="preserve">Na hlavné stavebné práce sú naviazané a teda sú ich súčasťou aj </w:t>
      </w:r>
      <w:r w:rsidRPr="006558F4">
        <w:rPr>
          <w:rFonts w:asciiTheme="minorHAnsi" w:hAnsiTheme="minorHAnsi" w:cstheme="minorHAnsi"/>
          <w:b/>
          <w:sz w:val="22"/>
          <w:szCs w:val="22"/>
        </w:rPr>
        <w:t>pomocné stavebné práce</w:t>
      </w:r>
      <w:r w:rsidRPr="006558F4">
        <w:rPr>
          <w:rFonts w:asciiTheme="minorHAnsi" w:hAnsiTheme="minorHAnsi" w:cstheme="minorHAnsi"/>
          <w:sz w:val="22"/>
          <w:szCs w:val="22"/>
        </w:rPr>
        <w:t xml:space="preserve">, ktoré zahŕňajú jednoduché a pomocné pracovné činnosti súvisiace s technologickými postupmi hlavnej stavebnej výroby, t. j.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izolovanie proti zemnej vlhkosti</w:t>
      </w:r>
      <w:r w:rsidRPr="006558F4">
        <w:rPr>
          <w:rFonts w:asciiTheme="minorHAnsi" w:hAnsiTheme="minorHAnsi" w:cstheme="minorHAnsi"/>
          <w:sz w:val="22"/>
          <w:szCs w:val="22"/>
        </w:rPr>
        <w:t xml:space="preserve"> - asfaltová </w:t>
      </w:r>
      <w:proofErr w:type="spellStart"/>
      <w:r w:rsidRPr="006558F4">
        <w:rPr>
          <w:rFonts w:asciiTheme="minorHAnsi" w:hAnsiTheme="minorHAnsi" w:cstheme="minorHAnsi"/>
          <w:sz w:val="22"/>
          <w:szCs w:val="22"/>
        </w:rPr>
        <w:t>penetrácia</w:t>
      </w:r>
      <w:proofErr w:type="spellEnd"/>
      <w:r w:rsidRPr="006558F4">
        <w:rPr>
          <w:rFonts w:asciiTheme="minorHAnsi" w:hAnsiTheme="minorHAnsi" w:cstheme="minorHAnsi"/>
          <w:sz w:val="22"/>
          <w:szCs w:val="22"/>
        </w:rPr>
        <w:t xml:space="preserve"> a hydroizolácia a PVC izolácia;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izolácia striech</w:t>
      </w:r>
      <w:r w:rsidRPr="006558F4">
        <w:rPr>
          <w:rFonts w:asciiTheme="minorHAnsi" w:hAnsiTheme="minorHAnsi" w:cstheme="minorHAnsi"/>
          <w:sz w:val="22"/>
          <w:szCs w:val="22"/>
        </w:rPr>
        <w:t xml:space="preserve"> - dodanie a montáž PVC fólií;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tepelná izolácia</w:t>
      </w:r>
      <w:r w:rsidRPr="006558F4">
        <w:rPr>
          <w:rFonts w:asciiTheme="minorHAnsi" w:hAnsiTheme="minorHAnsi" w:cstheme="minorHAnsi"/>
          <w:sz w:val="22"/>
          <w:szCs w:val="22"/>
        </w:rPr>
        <w:t xml:space="preserve"> - dodanie a montáž podlahy a stropu a základové dosky a steny;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vykurovanie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 montáž vykurovacích systémov, strojovňa;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zdravotechnika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 montáž potrubia a zariadenia;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lastRenderedPageBreak/>
        <w:t>tesárske konštrukcie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 montáž krov a latovanie, podlahy a steny, hrubá práca;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drevo konštrukcie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 montáž SDK konštrukcie, drevené steny a podlahy; klampiarske práce – dodanie, </w:t>
      </w:r>
      <w:proofErr w:type="spellStart"/>
      <w:r w:rsidRPr="006558F4">
        <w:rPr>
          <w:rFonts w:asciiTheme="minorHAnsi" w:hAnsiTheme="minorHAnsi" w:cstheme="minorHAnsi"/>
          <w:sz w:val="22"/>
          <w:szCs w:val="22"/>
        </w:rPr>
        <w:t>montá</w:t>
      </w:r>
      <w:proofErr w:type="spellEnd"/>
      <w:r w:rsidRPr="006558F4">
        <w:rPr>
          <w:rFonts w:asciiTheme="minorHAnsi" w:hAnsiTheme="minorHAnsi" w:cstheme="minorHAnsi"/>
          <w:sz w:val="22"/>
          <w:szCs w:val="22"/>
        </w:rPr>
        <w:t xml:space="preserve">, zvodový systém a oplechovanie;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krytina konštrukcie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 montáž krytiny, krytina, </w:t>
      </w:r>
      <w:proofErr w:type="spellStart"/>
      <w:r w:rsidRPr="006558F4">
        <w:rPr>
          <w:rFonts w:asciiTheme="minorHAnsi" w:hAnsiTheme="minorHAnsi" w:cstheme="minorHAnsi"/>
          <w:sz w:val="22"/>
          <w:szCs w:val="22"/>
        </w:rPr>
        <w:t>paropriepustná</w:t>
      </w:r>
      <w:proofErr w:type="spellEnd"/>
      <w:r w:rsidRPr="006558F4">
        <w:rPr>
          <w:rFonts w:asciiTheme="minorHAnsi" w:hAnsiTheme="minorHAnsi" w:cstheme="minorHAnsi"/>
          <w:sz w:val="22"/>
          <w:szCs w:val="22"/>
        </w:rPr>
        <w:t xml:space="preserve"> fólia a drobné materiály;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stolárske konštrukcie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 montáž okien a vchodových dverí a vnútorných dverí, parapety;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doplnkové kovové konštrukcie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 montáž ocele na budove ako sú zábradlia a mreže, </w:t>
      </w:r>
      <w:proofErr w:type="spellStart"/>
      <w:r w:rsidRPr="006558F4">
        <w:rPr>
          <w:rFonts w:asciiTheme="minorHAnsi" w:hAnsiTheme="minorHAnsi" w:cstheme="minorHAnsi"/>
          <w:sz w:val="22"/>
          <w:szCs w:val="22"/>
        </w:rPr>
        <w:t>madlá</w:t>
      </w:r>
      <w:proofErr w:type="spellEnd"/>
      <w:r w:rsidRPr="006558F4">
        <w:rPr>
          <w:rFonts w:asciiTheme="minorHAnsi" w:hAnsiTheme="minorHAnsi" w:cstheme="minorHAnsi"/>
          <w:sz w:val="22"/>
          <w:szCs w:val="22"/>
        </w:rPr>
        <w:t xml:space="preserve">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konštrukcia dlážky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 montáž dlažby vo vnútorných a vonkajších priestoroch;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konštrukcia podláh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 montáž – napr. laminátové podlahy, PVC podlahy, liate podlahy (priemyselné, dekoratívne a pod.;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konštrukcia obkladov</w:t>
      </w:r>
      <w:r w:rsidRPr="006558F4">
        <w:rPr>
          <w:rFonts w:asciiTheme="minorHAnsi" w:hAnsiTheme="minorHAnsi" w:cstheme="minorHAnsi"/>
          <w:sz w:val="22"/>
          <w:szCs w:val="22"/>
        </w:rPr>
        <w:t xml:space="preserve"> - dodanie a montáž vnútorných a vonkajších stien lišty;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 xml:space="preserve">náter konštrukcie </w:t>
      </w:r>
      <w:r w:rsidRPr="006558F4">
        <w:rPr>
          <w:rFonts w:asciiTheme="minorHAnsi" w:hAnsiTheme="minorHAnsi" w:cstheme="minorHAnsi"/>
          <w:sz w:val="22"/>
          <w:szCs w:val="22"/>
        </w:rPr>
        <w:t xml:space="preserve">– dodanie a montáž s náterom všetkých konštrukcií;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maľby konštrukcie</w:t>
      </w:r>
      <w:r w:rsidRPr="006558F4">
        <w:rPr>
          <w:rFonts w:asciiTheme="minorHAnsi" w:hAnsiTheme="minorHAnsi" w:cstheme="minorHAnsi"/>
          <w:sz w:val="22"/>
          <w:szCs w:val="22"/>
        </w:rPr>
        <w:t xml:space="preserve"> – dodanie a montáž maľby vo vnútorných priestoroch. Pokiaľ pôjde o </w:t>
      </w:r>
      <w:r w:rsidRPr="006558F4">
        <w:rPr>
          <w:rFonts w:asciiTheme="minorHAnsi" w:hAnsiTheme="minorHAnsi" w:cstheme="minorHAnsi"/>
          <w:b/>
          <w:sz w:val="22"/>
          <w:szCs w:val="22"/>
        </w:rPr>
        <w:t>rekonštrukciu</w:t>
      </w:r>
      <w:r w:rsidRPr="006558F4">
        <w:rPr>
          <w:rFonts w:asciiTheme="minorHAnsi" w:hAnsiTheme="minorHAnsi" w:cstheme="minorHAnsi"/>
          <w:sz w:val="22"/>
          <w:szCs w:val="22"/>
        </w:rPr>
        <w:t>, zahrnú sa do hlavných stavebných prác aj búracie práce a odvoz sutiny.</w:t>
      </w:r>
    </w:p>
    <w:p w:rsidR="006558F4" w:rsidRPr="006558F4" w:rsidRDefault="006558F4" w:rsidP="006558F4">
      <w:pPr>
        <w:spacing w:after="120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6558F4">
        <w:rPr>
          <w:rFonts w:asciiTheme="minorHAnsi" w:hAnsiTheme="minorHAnsi" w:cstheme="minorHAnsi"/>
          <w:sz w:val="22"/>
          <w:szCs w:val="22"/>
          <w:u w:val="single"/>
        </w:rPr>
        <w:t>Po ukončení všetkých jednotlivých etáp v rámci hlavných stavebných prác</w:t>
      </w:r>
      <w:r w:rsidRPr="006558F4">
        <w:rPr>
          <w:rFonts w:asciiTheme="minorHAnsi" w:hAnsiTheme="minorHAnsi" w:cstheme="minorHAnsi"/>
          <w:sz w:val="22"/>
          <w:szCs w:val="22"/>
        </w:rPr>
        <w:t xml:space="preserve"> je prijímateľ povinný predložiť PPA naskenovaný </w:t>
      </w:r>
      <w:r w:rsidRPr="006558F4">
        <w:rPr>
          <w:rFonts w:asciiTheme="minorHAnsi" w:hAnsiTheme="minorHAnsi" w:cstheme="minorHAnsi"/>
          <w:b/>
          <w:sz w:val="22"/>
          <w:szCs w:val="22"/>
        </w:rPr>
        <w:t>stavebný denník</w:t>
      </w:r>
      <w:r w:rsidRPr="006558F4">
        <w:rPr>
          <w:rFonts w:asciiTheme="minorHAnsi" w:hAnsiTheme="minorHAnsi" w:cstheme="minorHAnsi"/>
          <w:sz w:val="22"/>
          <w:szCs w:val="22"/>
        </w:rPr>
        <w:t xml:space="preserve"> </w:t>
      </w:r>
      <w:r w:rsidRPr="006558F4">
        <w:rPr>
          <w:rFonts w:asciiTheme="minorHAnsi" w:hAnsiTheme="minorHAnsi" w:cstheme="minorHAnsi"/>
          <w:sz w:val="22"/>
          <w:szCs w:val="22"/>
          <w:u w:val="single"/>
        </w:rPr>
        <w:t>s okrúhlou pečiatkou a podpisom osoby vykonávajúcej stavebný dozor</w:t>
      </w:r>
      <w:r w:rsidRPr="006558F4">
        <w:rPr>
          <w:rFonts w:asciiTheme="minorHAnsi" w:hAnsiTheme="minorHAnsi" w:cstheme="minorHAnsi"/>
          <w:sz w:val="22"/>
          <w:szCs w:val="22"/>
        </w:rPr>
        <w:t>.</w:t>
      </w:r>
    </w:p>
    <w:p w:rsidR="006558F4" w:rsidRPr="006558F4" w:rsidRDefault="006558F4" w:rsidP="006558F4">
      <w:pPr>
        <w:pStyle w:val="Odsekzoznamu"/>
        <w:numPr>
          <w:ilvl w:val="0"/>
          <w:numId w:val="1"/>
        </w:numPr>
        <w:spacing w:before="120" w:after="120"/>
        <w:ind w:left="567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PPA vytvorí službu na portáli </w:t>
      </w:r>
      <w:hyperlink r:id="rId11" w:history="1">
        <w:r w:rsidR="000D6EFD" w:rsidRPr="000D6EFD">
          <w:rPr>
            <w:rStyle w:val="Hypertextovprepojenie"/>
            <w:rFonts w:asciiTheme="minorHAnsi" w:hAnsiTheme="minorHAnsi" w:cstheme="minorHAnsi"/>
            <w:sz w:val="22"/>
          </w:rPr>
          <w:t>slovensko.sk</w:t>
        </w:r>
      </w:hyperlink>
      <w:r w:rsidRPr="000D6EFD">
        <w:t xml:space="preserve"> </w:t>
      </w:r>
      <w:r w:rsidRPr="000D6EFD">
        <w:rPr>
          <w:rFonts w:asciiTheme="minorHAnsi" w:hAnsiTheme="minorHAnsi" w:cstheme="minorHAnsi"/>
          <w:sz w:val="22"/>
        </w:rPr>
        <w:t>prostredníctvom</w:t>
      </w:r>
      <w:r w:rsidRPr="006558F4">
        <w:rPr>
          <w:rFonts w:asciiTheme="minorHAnsi" w:hAnsiTheme="minorHAnsi" w:cstheme="minorHAnsi"/>
          <w:sz w:val="22"/>
        </w:rPr>
        <w:t xml:space="preserve"> ktorej budú prijímateľa </w:t>
      </w:r>
      <w:r w:rsidRPr="006558F4">
        <w:rPr>
          <w:rFonts w:asciiTheme="minorHAnsi" w:hAnsiTheme="minorHAnsi" w:cstheme="minorHAnsi"/>
          <w:b/>
          <w:sz w:val="22"/>
        </w:rPr>
        <w:t>predkladať</w:t>
      </w:r>
      <w:r w:rsidRPr="006558F4">
        <w:rPr>
          <w:rFonts w:asciiTheme="minorHAnsi" w:hAnsiTheme="minorHAnsi" w:cstheme="minorHAnsi"/>
          <w:sz w:val="22"/>
        </w:rPr>
        <w:t xml:space="preserve"> tzv. „</w:t>
      </w:r>
      <w:proofErr w:type="spellStart"/>
      <w:r w:rsidRPr="006558F4">
        <w:rPr>
          <w:rFonts w:asciiTheme="minorHAnsi" w:hAnsiTheme="minorHAnsi" w:cstheme="minorHAnsi"/>
          <w:sz w:val="22"/>
        </w:rPr>
        <w:t>geotagg</w:t>
      </w:r>
      <w:proofErr w:type="spellEnd"/>
      <w:r w:rsidRPr="006558F4">
        <w:rPr>
          <w:rFonts w:asciiTheme="minorHAnsi" w:hAnsiTheme="minorHAnsi" w:cstheme="minorHAnsi"/>
          <w:sz w:val="22"/>
        </w:rPr>
        <w:t>“ informácie</w:t>
      </w:r>
      <w:r w:rsidRPr="006558F4">
        <w:rPr>
          <w:rFonts w:asciiTheme="minorHAnsi" w:hAnsiTheme="minorHAnsi" w:cstheme="minorHAnsi"/>
          <w:b/>
          <w:sz w:val="22"/>
        </w:rPr>
        <w:t xml:space="preserve"> </w:t>
      </w:r>
      <w:r w:rsidRPr="006558F4">
        <w:rPr>
          <w:rFonts w:asciiTheme="minorHAnsi" w:hAnsiTheme="minorHAnsi" w:cstheme="minorHAnsi"/>
          <w:sz w:val="22"/>
          <w:u w:val="single"/>
        </w:rPr>
        <w:t>po ukončení každej jednotlivej etapy</w:t>
      </w:r>
      <w:r w:rsidRPr="006558F4">
        <w:rPr>
          <w:rFonts w:asciiTheme="minorHAnsi" w:hAnsiTheme="minorHAnsi" w:cstheme="minorHAnsi"/>
          <w:sz w:val="22"/>
        </w:rPr>
        <w:t xml:space="preserve"> v rámci hlavných stavebných prác podľa kódu projektu do 1 mesiaca od ukončenia príslušnej etapy</w:t>
      </w:r>
      <w:r w:rsidRPr="006558F4">
        <w:rPr>
          <w:rFonts w:asciiTheme="minorHAnsi" w:hAnsiTheme="minorHAnsi" w:cstheme="minorHAnsi"/>
          <w:b/>
          <w:sz w:val="22"/>
        </w:rPr>
        <w:t xml:space="preserve">. </w:t>
      </w:r>
      <w:r w:rsidRPr="006558F4">
        <w:rPr>
          <w:rFonts w:asciiTheme="minorHAnsi" w:hAnsiTheme="minorHAnsi" w:cstheme="minorHAnsi"/>
          <w:sz w:val="22"/>
        </w:rPr>
        <w:t xml:space="preserve">Osoba zodpovedná za komunikáciu s PPA je povinná predložiť PPA požadovanú fotodokumentáciu potvrdzujúcu realizáciu každej predmetnej etapy investičného zámeru v súlade s predloženou ŽoP. Ak z predmetnej fotodokumentácie nebude možné posúdiť, resp. identifikovať realizáciu jednotlivých predmetných etáp investičného zámeru v súlade s predloženou ŽoP, PPA je oprávnená vyžiadať si od prijímateľa </w:t>
      </w:r>
      <w:r w:rsidRPr="006558F4">
        <w:rPr>
          <w:rFonts w:asciiTheme="minorHAnsi" w:hAnsiTheme="minorHAnsi" w:cstheme="minorHAnsi"/>
          <w:color w:val="000000"/>
          <w:sz w:val="22"/>
        </w:rPr>
        <w:t xml:space="preserve">vypracovanie znaleckého posudku jednotlivých etáp investičného zámeru stavby osobou odborne spôsobilou </w:t>
      </w:r>
      <w:r w:rsidRPr="006558F4">
        <w:rPr>
          <w:rFonts w:asciiTheme="minorHAnsi" w:hAnsiTheme="minorHAnsi" w:cstheme="minorHAnsi"/>
          <w:sz w:val="22"/>
        </w:rPr>
        <w:t>na výkon činností</w:t>
      </w:r>
      <w:r w:rsidRPr="006558F4">
        <w:rPr>
          <w:rFonts w:asciiTheme="minorHAnsi" w:hAnsiTheme="minorHAnsi" w:cstheme="minorHAnsi"/>
          <w:b/>
          <w:sz w:val="22"/>
        </w:rPr>
        <w:t xml:space="preserve"> </w:t>
      </w:r>
      <w:r w:rsidRPr="006558F4">
        <w:rPr>
          <w:rFonts w:asciiTheme="minorHAnsi" w:hAnsiTheme="minorHAnsi" w:cstheme="minorHAnsi"/>
          <w:sz w:val="22"/>
        </w:rPr>
        <w:t>popísaných v projekte</w:t>
      </w:r>
      <w:r w:rsidRPr="006558F4">
        <w:rPr>
          <w:rStyle w:val="Odkaznapoznmkupodiarou"/>
          <w:rFonts w:asciiTheme="minorHAnsi" w:hAnsiTheme="minorHAnsi" w:cstheme="minorHAnsi"/>
          <w:sz w:val="22"/>
        </w:rPr>
        <w:footnoteReference w:id="1"/>
      </w:r>
      <w:r w:rsidRPr="006558F4">
        <w:rPr>
          <w:rFonts w:asciiTheme="minorHAnsi" w:hAnsiTheme="minorHAnsi" w:cstheme="minorHAnsi"/>
          <w:sz w:val="22"/>
        </w:rPr>
        <w:t>.</w:t>
      </w:r>
      <w:r w:rsidRPr="006558F4">
        <w:rPr>
          <w:rFonts w:asciiTheme="minorHAnsi" w:hAnsiTheme="minorHAnsi" w:cstheme="minorHAnsi"/>
        </w:rPr>
        <w:t xml:space="preserve"> </w:t>
      </w:r>
      <w:r w:rsidRPr="006558F4">
        <w:rPr>
          <w:rFonts w:asciiTheme="minorHAnsi" w:hAnsiTheme="minorHAnsi" w:cstheme="minorHAnsi"/>
          <w:sz w:val="22"/>
        </w:rPr>
        <w:t>Porušenie tejto povinnosti, je možné považovať za porušenie definované v Zmluve.</w:t>
      </w:r>
    </w:p>
    <w:p w:rsidR="006558F4" w:rsidRPr="006558F4" w:rsidRDefault="006558F4" w:rsidP="006558F4">
      <w:pPr>
        <w:pStyle w:val="Odsekzoznamu"/>
        <w:numPr>
          <w:ilvl w:val="0"/>
          <w:numId w:val="1"/>
        </w:numPr>
        <w:spacing w:before="120" w:after="120"/>
        <w:ind w:left="567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>Uvedené body musí prijímateľ zabezpečiť aj pred podpisom Zmluvy a po podpise Zmluvy zdokladovať poskytovateľovi v zmysle podmienok nastavených v Zmluve.</w:t>
      </w:r>
    </w:p>
    <w:p w:rsidR="006558F4" w:rsidRPr="006558F4" w:rsidRDefault="006558F4" w:rsidP="006558F4">
      <w:pPr>
        <w:pStyle w:val="Odsekzoznamu"/>
        <w:numPr>
          <w:ilvl w:val="0"/>
          <w:numId w:val="1"/>
        </w:numPr>
        <w:spacing w:before="120" w:after="120"/>
        <w:ind w:left="567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Všeobecné požiadavky na fotodokumentáciu sú: </w:t>
      </w:r>
      <w:proofErr w:type="spellStart"/>
      <w:r w:rsidRPr="006558F4">
        <w:rPr>
          <w:rFonts w:asciiTheme="minorHAnsi" w:hAnsiTheme="minorHAnsi" w:cstheme="minorHAnsi"/>
          <w:sz w:val="22"/>
        </w:rPr>
        <w:t>geotagové</w:t>
      </w:r>
      <w:proofErr w:type="spellEnd"/>
      <w:r w:rsidRPr="006558F4">
        <w:rPr>
          <w:rFonts w:asciiTheme="minorHAnsi" w:hAnsiTheme="minorHAnsi" w:cstheme="minorHAnsi"/>
          <w:sz w:val="22"/>
        </w:rPr>
        <w:t xml:space="preserve"> farebné fotografie s </w:t>
      </w:r>
      <w:r w:rsidRPr="006558F4">
        <w:rPr>
          <w:rFonts w:asciiTheme="minorHAnsi" w:hAnsiTheme="minorHAnsi" w:cstheme="minorHAnsi"/>
          <w:color w:val="000000" w:themeColor="text1"/>
          <w:sz w:val="22"/>
        </w:rPr>
        <w:t xml:space="preserve">minimálnym rozlíšením 8MPx resp. 3264 x 2468 pixelov vo formáte JPEG </w:t>
      </w:r>
      <w:r w:rsidRPr="006558F4">
        <w:rPr>
          <w:rFonts w:asciiTheme="minorHAnsi" w:hAnsiTheme="minorHAnsi" w:cstheme="minorHAnsi"/>
          <w:sz w:val="22"/>
        </w:rPr>
        <w:t>s GPS súradnicami urobenia snímky, dátumom a časovými údajmi, v opačnom prípade nutné definovať na zobrazení fotografie (napr. tabuľka s textom umiestnená v rohu), prípadné dodatočné informácie ako napr. identifikácie stavby, názov projektu, meracie prostriedky (meracie pásmo...), minimálne 4 fotografie celkového náhľadu z každej svetovej strany, resp. možného uhlu náhľadu (z každého rohu) a min. 2 fotografie každého detailu. Fotografie musia byť jasné, zaostrené, s čitateľným textom.</w:t>
      </w:r>
    </w:p>
    <w:p w:rsidR="006558F4" w:rsidRPr="006558F4" w:rsidRDefault="006558F4" w:rsidP="006558F4">
      <w:pPr>
        <w:pStyle w:val="Odsekzoznamu"/>
        <w:numPr>
          <w:ilvl w:val="0"/>
          <w:numId w:val="1"/>
        </w:numPr>
        <w:spacing w:before="120" w:after="120"/>
        <w:ind w:left="567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Pri fotodokumentácii </w:t>
      </w:r>
      <w:r w:rsidRPr="006558F4">
        <w:rPr>
          <w:rFonts w:asciiTheme="minorHAnsi" w:hAnsiTheme="minorHAnsi" w:cstheme="minorHAnsi"/>
          <w:b/>
          <w:sz w:val="22"/>
        </w:rPr>
        <w:t>pre stavebné investície</w:t>
      </w:r>
      <w:r w:rsidRPr="006558F4">
        <w:rPr>
          <w:rFonts w:asciiTheme="minorHAnsi" w:hAnsiTheme="minorHAnsi" w:cstheme="minorHAnsi"/>
          <w:sz w:val="22"/>
        </w:rPr>
        <w:t xml:space="preserve"> je prijímateľ povinný zabezpečiť fotografickú dokumentáciu v nevyhnutnom rozsahu (najmä s dokumentovaním priebehu/fáz stavebných/búracích prác, rozhodujúcich detailov za účelom zdokumentovania činnosti technického/kontrolného dozoru investora resp. stavu a priebehu prác zhotoviteľa stavby) začiatočného stavu a priebehu stavebných/búracích prác digitálnym fotoaparátom a odovzdať pamäťové médium (CD, resp. USB kľúč) s celkovou fotodokumentáciou po ukončení stavby vrátane vyhotovenia a odovzdania finálnej správy o priebehu a výsledku realizácie investície v rámci ŽoP, predmetnom ktorej je refundácia daného stavebného objektu.</w:t>
      </w:r>
    </w:p>
    <w:p w:rsidR="006558F4" w:rsidRPr="006558F4" w:rsidRDefault="006558F4" w:rsidP="006558F4">
      <w:pPr>
        <w:pStyle w:val="Odsekzoznamu"/>
        <w:numPr>
          <w:ilvl w:val="0"/>
          <w:numId w:val="1"/>
        </w:numPr>
        <w:spacing w:before="120" w:after="120"/>
        <w:ind w:left="567" w:hanging="567"/>
        <w:contextualSpacing w:val="0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 xml:space="preserve">Pri fotodokumentácii </w:t>
      </w:r>
      <w:r w:rsidRPr="006558F4">
        <w:rPr>
          <w:rFonts w:asciiTheme="minorHAnsi" w:hAnsiTheme="minorHAnsi" w:cstheme="minorHAnsi"/>
          <w:b/>
          <w:sz w:val="22"/>
        </w:rPr>
        <w:t>pre investície do technológie, resp. strojov a zariadení</w:t>
      </w:r>
      <w:r w:rsidRPr="006558F4">
        <w:rPr>
          <w:rFonts w:asciiTheme="minorHAnsi" w:hAnsiTheme="minorHAnsi" w:cstheme="minorHAnsi"/>
          <w:sz w:val="22"/>
        </w:rPr>
        <w:t xml:space="preserve"> je prijímateľ je povinný zabezpečiť fotografickú dokumentáciu v nevyhnutnom rozsahu (celkový pohľad pred realizáciou/stav po nainštalovaní, resp. celkový pohľad vrátane jednotlivých fotografií príslušenstva a fotografie kde budú jednoznačne zdokumentované výrobné čísla (tzv. výrobné </w:t>
      </w:r>
      <w:r w:rsidRPr="006558F4">
        <w:rPr>
          <w:rFonts w:asciiTheme="minorHAnsi" w:hAnsiTheme="minorHAnsi" w:cstheme="minorHAnsi"/>
          <w:sz w:val="22"/>
        </w:rPr>
        <w:lastRenderedPageBreak/>
        <w:t>štítky) digitálnym fotoaparátom a odovzdať pamäťové médium (CD, resp. USB kľúč) s celkovou fotodokumentáciou vrátane vyhotovenia a odovzdania finálnej správy o priebehu a výsledku realizácie investície v rámci ŽoP, predmetnom ktorej je refundácia danej investície.</w:t>
      </w:r>
    </w:p>
    <w:p w:rsidR="006558F4" w:rsidRPr="009D7D66" w:rsidRDefault="006558F4" w:rsidP="009D7D66">
      <w:pPr>
        <w:spacing w:line="360" w:lineRule="auto"/>
        <w:jc w:val="both"/>
        <w:rPr>
          <w:rFonts w:asciiTheme="minorHAnsi" w:hAnsiTheme="minorHAnsi" w:cstheme="minorHAnsi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6558F4" w:rsidRPr="006558F4" w:rsidRDefault="006558F4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6558F4">
        <w:rPr>
          <w:rFonts w:asciiTheme="minorHAnsi" w:hAnsiTheme="minorHAnsi" w:cstheme="minorHAnsi"/>
          <w:b/>
        </w:rPr>
        <w:t>Článok 2</w:t>
      </w:r>
    </w:p>
    <w:p w:rsidR="006558F4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>Ostatné časti Príručky pre prijímateľa nenávratného finančného príspevku z PRV SR 2014 – 2022 verzia 03 zostávajú nezmenené.</w:t>
      </w:r>
    </w:p>
    <w:p w:rsidR="006558F4" w:rsidRPr="003350BF" w:rsidRDefault="006558F4" w:rsidP="006558F4">
      <w:pPr>
        <w:jc w:val="both"/>
        <w:rPr>
          <w:highlight w:val="yellow"/>
        </w:rPr>
      </w:pPr>
    </w:p>
    <w:p w:rsidR="006558F4" w:rsidRPr="006558F4" w:rsidRDefault="006558F4" w:rsidP="006558F4">
      <w:pPr>
        <w:spacing w:after="120"/>
        <w:jc w:val="center"/>
        <w:rPr>
          <w:rFonts w:asciiTheme="minorHAnsi" w:hAnsiTheme="minorHAnsi" w:cstheme="minorHAnsi"/>
          <w:b/>
        </w:rPr>
      </w:pPr>
      <w:r w:rsidRPr="006558F4">
        <w:rPr>
          <w:rFonts w:asciiTheme="minorHAnsi" w:hAnsiTheme="minorHAnsi" w:cstheme="minorHAnsi"/>
          <w:b/>
        </w:rPr>
        <w:t xml:space="preserve">Článok </w:t>
      </w:r>
      <w:r>
        <w:rPr>
          <w:rFonts w:asciiTheme="minorHAnsi" w:hAnsiTheme="minorHAnsi" w:cstheme="minorHAnsi"/>
          <w:b/>
        </w:rPr>
        <w:t>3</w:t>
      </w:r>
    </w:p>
    <w:p w:rsidR="006558F4" w:rsidRPr="006558F4" w:rsidRDefault="006558F4" w:rsidP="006558F4">
      <w:pPr>
        <w:spacing w:line="300" w:lineRule="exact"/>
        <w:jc w:val="both"/>
        <w:rPr>
          <w:rFonts w:asciiTheme="minorHAnsi" w:hAnsiTheme="minorHAnsi" w:cstheme="minorHAnsi"/>
          <w:sz w:val="22"/>
        </w:rPr>
      </w:pPr>
      <w:r w:rsidRPr="006558F4">
        <w:rPr>
          <w:rFonts w:asciiTheme="minorHAnsi" w:hAnsiTheme="minorHAnsi" w:cstheme="minorHAnsi"/>
          <w:sz w:val="22"/>
        </w:rPr>
        <w:t>Tento dodatok je záväzný v celom rozsahu pre projekty financované z Programu rozvoja vidieka SR 2014 – 2022 a nadobúda účinnosť dňom 06.12.2022.</w:t>
      </w: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  <w:rPr>
          <w:rFonts w:asciiTheme="minorHAnsi" w:hAnsiTheme="minorHAnsi"/>
          <w:b/>
          <w:color w:val="000000"/>
          <w:sz w:val="15"/>
          <w:szCs w:val="15"/>
        </w:rPr>
      </w:pPr>
    </w:p>
    <w:p w:rsidR="009D7D66" w:rsidRDefault="009D7D66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</w:p>
    <w:p w:rsidR="00502C50" w:rsidRDefault="00502C50" w:rsidP="009D7D66">
      <w:pPr>
        <w:jc w:val="center"/>
      </w:pPr>
      <w:bookmarkStart w:id="0" w:name="_GoBack"/>
      <w:bookmarkEnd w:id="0"/>
    </w:p>
    <w:p w:rsidR="00502C50" w:rsidRDefault="00502C50" w:rsidP="009D7D66">
      <w:pPr>
        <w:jc w:val="center"/>
      </w:pPr>
    </w:p>
    <w:sectPr w:rsidR="00502C50" w:rsidSect="006558F4">
      <w:headerReference w:type="default" r:id="rId12"/>
      <w:footerReference w:type="default" r:id="rId13"/>
      <w:head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19BD" w:rsidRDefault="00AC19BD" w:rsidP="009D7D66">
      <w:r>
        <w:separator/>
      </w:r>
    </w:p>
  </w:endnote>
  <w:endnote w:type="continuationSeparator" w:id="0">
    <w:p w:rsidR="00AC19BD" w:rsidRDefault="00AC19BD" w:rsidP="009D7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2386443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0"/>
        <w:szCs w:val="20"/>
      </w:rPr>
    </w:sdtEndPr>
    <w:sdtContent>
      <w:p w:rsidR="006558F4" w:rsidRPr="006558F4" w:rsidRDefault="006558F4">
        <w:pPr>
          <w:pStyle w:val="Pta"/>
          <w:jc w:val="center"/>
          <w:rPr>
            <w:rFonts w:asciiTheme="minorHAnsi" w:hAnsiTheme="minorHAnsi" w:cstheme="minorHAnsi"/>
            <w:sz w:val="20"/>
            <w:szCs w:val="20"/>
          </w:rPr>
        </w:pPr>
        <w:r w:rsidRPr="006558F4">
          <w:rPr>
            <w:rFonts w:asciiTheme="minorHAnsi" w:hAnsiTheme="minorHAnsi" w:cstheme="minorHAnsi"/>
            <w:sz w:val="20"/>
            <w:szCs w:val="20"/>
          </w:rPr>
          <w:fldChar w:fldCharType="begin"/>
        </w:r>
        <w:r w:rsidRPr="006558F4">
          <w:rPr>
            <w:rFonts w:asciiTheme="minorHAnsi" w:hAnsiTheme="minorHAnsi" w:cstheme="minorHAnsi"/>
            <w:sz w:val="20"/>
            <w:szCs w:val="20"/>
          </w:rPr>
          <w:instrText>PAGE   \* MERGEFORMAT</w:instrText>
        </w:r>
        <w:r w:rsidRPr="006558F4">
          <w:rPr>
            <w:rFonts w:asciiTheme="minorHAnsi" w:hAnsiTheme="minorHAnsi" w:cstheme="minorHAnsi"/>
            <w:sz w:val="20"/>
            <w:szCs w:val="20"/>
          </w:rPr>
          <w:fldChar w:fldCharType="separate"/>
        </w:r>
        <w:r w:rsidR="00502C50">
          <w:rPr>
            <w:rFonts w:asciiTheme="minorHAnsi" w:hAnsiTheme="minorHAnsi" w:cstheme="minorHAnsi"/>
            <w:noProof/>
            <w:sz w:val="20"/>
            <w:szCs w:val="20"/>
          </w:rPr>
          <w:t>3</w:t>
        </w:r>
        <w:r w:rsidRPr="006558F4">
          <w:rPr>
            <w:rFonts w:asciiTheme="minorHAnsi" w:hAnsiTheme="minorHAnsi" w:cstheme="minorHAnsi"/>
            <w:sz w:val="20"/>
            <w:szCs w:val="20"/>
          </w:rPr>
          <w:fldChar w:fldCharType="end"/>
        </w:r>
      </w:p>
    </w:sdtContent>
  </w:sdt>
  <w:p w:rsidR="006558F4" w:rsidRDefault="006558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19BD" w:rsidRDefault="00AC19BD" w:rsidP="009D7D66">
      <w:r>
        <w:separator/>
      </w:r>
    </w:p>
  </w:footnote>
  <w:footnote w:type="continuationSeparator" w:id="0">
    <w:p w:rsidR="00AC19BD" w:rsidRDefault="00AC19BD" w:rsidP="009D7D66">
      <w:r>
        <w:continuationSeparator/>
      </w:r>
    </w:p>
  </w:footnote>
  <w:footnote w:id="1">
    <w:p w:rsidR="006558F4" w:rsidRPr="00EB6A77" w:rsidRDefault="006558F4" w:rsidP="00EB6A77">
      <w:pPr>
        <w:pStyle w:val="Textpoznmkypodiarou"/>
        <w:jc w:val="both"/>
        <w:rPr>
          <w:rFonts w:asciiTheme="minorHAnsi" w:hAnsiTheme="minorHAnsi" w:cstheme="minorHAnsi"/>
          <w:sz w:val="18"/>
          <w:szCs w:val="18"/>
        </w:rPr>
      </w:pPr>
      <w:r w:rsidRPr="00EB6A77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EB6A77">
        <w:rPr>
          <w:rFonts w:asciiTheme="minorHAnsi" w:hAnsiTheme="minorHAnsi" w:cstheme="minorHAnsi"/>
          <w:sz w:val="18"/>
          <w:szCs w:val="18"/>
        </w:rPr>
        <w:t xml:space="preserve"> t. j. osoba v zmysle zákona č. 138/1992 Zb. </w:t>
      </w:r>
      <w:r w:rsidRPr="00EB6A77">
        <w:rPr>
          <w:rFonts w:asciiTheme="minorHAnsi" w:hAnsiTheme="minorHAnsi" w:cstheme="minorHAnsi"/>
          <w:color w:val="000000"/>
          <w:sz w:val="18"/>
          <w:szCs w:val="18"/>
          <w:shd w:val="clear" w:color="auto" w:fill="FFFFFF"/>
        </w:rPr>
        <w:t xml:space="preserve">o autorizovaných architektoch a autorizovaných stavebných inžinieroch a zákona č. </w:t>
      </w:r>
      <w:r w:rsidRPr="00EB6A77">
        <w:rPr>
          <w:rFonts w:asciiTheme="minorHAnsi" w:hAnsiTheme="minorHAnsi" w:cstheme="minorHAnsi"/>
          <w:sz w:val="18"/>
          <w:szCs w:val="18"/>
        </w:rPr>
        <w:t>382/2004 Z. z. o znalcoch, tlmočníkoch a prekladateľoch a o zmene a doplnení niektorých zákonov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7D66" w:rsidRPr="006558F4" w:rsidRDefault="009D7D66" w:rsidP="009D7D66">
    <w:pPr>
      <w:pStyle w:val="Hlavika"/>
      <w:rPr>
        <w:rFonts w:asciiTheme="minorHAnsi" w:hAnsiTheme="minorHAnsi" w:cstheme="minorHAnsi"/>
        <w:b/>
        <w:i/>
        <w:sz w:val="20"/>
      </w:rPr>
    </w:pPr>
    <w:r w:rsidRPr="006558F4">
      <w:rPr>
        <w:rFonts w:asciiTheme="minorHAnsi" w:hAnsiTheme="minorHAnsi" w:cstheme="minorHAnsi"/>
        <w:b/>
        <w:i/>
        <w:sz w:val="20"/>
      </w:rPr>
      <w:t>Dodatok č. 1 k Príručke pre prijímateľa nenávratného finančného príspevku z PRV SR 2014 – 2022, verzia 03</w:t>
    </w:r>
  </w:p>
  <w:p w:rsidR="009D7D66" w:rsidRDefault="009D7D6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558F4" w:rsidRPr="004D26D5" w:rsidRDefault="004D26D5">
    <w:pPr>
      <w:pStyle w:val="Hlavika"/>
      <w:rPr>
        <w:rFonts w:asciiTheme="minorHAnsi" w:hAnsiTheme="minorHAnsi" w:cstheme="minorHAnsi"/>
        <w:sz w:val="20"/>
        <w:szCs w:val="20"/>
      </w:rPr>
    </w:pPr>
    <w:r w:rsidRPr="004D26D5">
      <w:rPr>
        <w:rFonts w:asciiTheme="minorHAnsi" w:hAnsiTheme="minorHAnsi" w:cstheme="minorHAnsi"/>
        <w:b/>
        <w:i/>
        <w:sz w:val="20"/>
        <w:szCs w:val="20"/>
      </w:rPr>
      <w:t>Dodatok č. 1 k Príručke pre prijímateľa nenávratného finančného príspevku z PRV SR 2014 – 2022, verzia 03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E86D6F"/>
    <w:multiLevelType w:val="hybridMultilevel"/>
    <w:tmpl w:val="CF6E3CC4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0B">
      <w:start w:val="1"/>
      <w:numFmt w:val="bullet"/>
      <w:lvlText w:val=""/>
      <w:lvlJc w:val="left"/>
      <w:pPr>
        <w:ind w:left="107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67F61963"/>
    <w:multiLevelType w:val="hybridMultilevel"/>
    <w:tmpl w:val="5F2C9F02"/>
    <w:lvl w:ilvl="0" w:tplc="9B42DF30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7A408764"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7D66"/>
    <w:rsid w:val="000D6EFD"/>
    <w:rsid w:val="00141D95"/>
    <w:rsid w:val="003B0F87"/>
    <w:rsid w:val="004D26D5"/>
    <w:rsid w:val="00502C50"/>
    <w:rsid w:val="005D4273"/>
    <w:rsid w:val="006558F4"/>
    <w:rsid w:val="006A085D"/>
    <w:rsid w:val="006E093B"/>
    <w:rsid w:val="009D7D66"/>
    <w:rsid w:val="00A225DE"/>
    <w:rsid w:val="00AC19BD"/>
    <w:rsid w:val="00D74DB7"/>
    <w:rsid w:val="00EB6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33F9D"/>
  <w15:chartTrackingRefBased/>
  <w15:docId w15:val="{1F9F860C-6DA2-44B2-818A-65898822C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D7D6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D7D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qFormat/>
    <w:rsid w:val="009D7D66"/>
  </w:style>
  <w:style w:type="paragraph" w:styleId="Pta">
    <w:name w:val="footer"/>
    <w:basedOn w:val="Normlny"/>
    <w:link w:val="PtaChar"/>
    <w:uiPriority w:val="99"/>
    <w:unhideWhenUsed/>
    <w:rsid w:val="009D7D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D7D66"/>
  </w:style>
  <w:style w:type="character" w:styleId="Hypertextovprepojenie">
    <w:name w:val="Hyperlink"/>
    <w:basedOn w:val="Predvolenpsmoodseku"/>
    <w:uiPriority w:val="99"/>
    <w:unhideWhenUsed/>
    <w:rsid w:val="006558F4"/>
    <w:rPr>
      <w:rFonts w:cs="Times New Roman"/>
      <w:color w:val="0000FF"/>
      <w:u w:val="single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,Odsek zoznamu21,Odstavec_muj,Nad,Odstavec cíl se seznamem,Odstavec se seznamem5,Nad1,Odsek"/>
    <w:basedOn w:val="Normlny"/>
    <w:link w:val="OdsekzoznamuChar"/>
    <w:uiPriority w:val="34"/>
    <w:qFormat/>
    <w:rsid w:val="006558F4"/>
    <w:pPr>
      <w:suppressAutoHyphens w:val="0"/>
      <w:spacing w:after="200"/>
      <w:ind w:left="720"/>
      <w:contextualSpacing/>
    </w:pPr>
    <w:rPr>
      <w:szCs w:val="22"/>
      <w:lang w:eastAsia="en-US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,Odsek zoznamu21 Char,Odstavec_muj Char,Nad Char,Nad1 Char"/>
    <w:link w:val="Odsekzoznamu"/>
    <w:uiPriority w:val="34"/>
    <w:qFormat/>
    <w:locked/>
    <w:rsid w:val="006558F4"/>
    <w:rPr>
      <w:rFonts w:ascii="Times New Roman" w:eastAsia="Times New Roman" w:hAnsi="Times New Roman" w:cs="Times New Roman"/>
      <w:sz w:val="24"/>
    </w:rPr>
  </w:style>
  <w:style w:type="paragraph" w:styleId="Textpoznmkypodiarou">
    <w:name w:val="footnote text"/>
    <w:aliases w:val="Text poznámky pod čiarou 007,Schriftart: 9 pt,Schriftart: 10 pt,Schriftart: 8 pt,_Poznámka pod čiarou,Stinking Styles2,Tekst przypisu- dokt,Char Char Char,Char Char Char Char Char Char Char Char Char,Char Char Ch,o,Car,Char4"/>
    <w:basedOn w:val="Normlny"/>
    <w:link w:val="TextpoznmkypodiarouChar"/>
    <w:uiPriority w:val="99"/>
    <w:unhideWhenUsed/>
    <w:qFormat/>
    <w:rsid w:val="006558F4"/>
    <w:pPr>
      <w:suppressAutoHyphens w:val="0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Schriftart: 9 pt Char,Schriftart: 10 pt Char,Schriftart: 8 pt Char,_Poznámka pod čiarou Char,Stinking Styles2 Char,Tekst przypisu- dokt Char,Char Char Char Char,Char Char Ch Char,o Char"/>
    <w:basedOn w:val="Predvolenpsmoodseku"/>
    <w:link w:val="Textpoznmkypodiarou"/>
    <w:uiPriority w:val="99"/>
    <w:qFormat/>
    <w:rsid w:val="006558F4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,f"/>
    <w:basedOn w:val="Predvolenpsmoodseku"/>
    <w:link w:val="Char2"/>
    <w:uiPriority w:val="99"/>
    <w:unhideWhenUsed/>
    <w:qFormat/>
    <w:rsid w:val="006558F4"/>
    <w:rPr>
      <w:rFonts w:ascii="Times New Roman" w:hAnsi="Times New Roman" w:cs="Times New Roman"/>
      <w:vertAlign w:val="superscript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6558F4"/>
    <w:pPr>
      <w:suppressAutoHyphens w:val="0"/>
    </w:pPr>
    <w:rPr>
      <w:sz w:val="20"/>
      <w:szCs w:val="20"/>
      <w:lang w:val="x-none" w:eastAsia="x-none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6558F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Odkaznakomentr">
    <w:name w:val="annotation reference"/>
    <w:uiPriority w:val="99"/>
    <w:unhideWhenUsed/>
    <w:qFormat/>
    <w:rsid w:val="006558F4"/>
    <w:rPr>
      <w:sz w:val="16"/>
      <w:szCs w:val="16"/>
    </w:rPr>
  </w:style>
  <w:style w:type="paragraph" w:customStyle="1" w:styleId="Char2">
    <w:name w:val="Char2"/>
    <w:basedOn w:val="Normlny"/>
    <w:link w:val="Odkaznapoznmkupodiarou"/>
    <w:uiPriority w:val="99"/>
    <w:qFormat/>
    <w:rsid w:val="006558F4"/>
    <w:pPr>
      <w:suppressAutoHyphens w:val="0"/>
      <w:spacing w:after="160" w:line="240" w:lineRule="exact"/>
    </w:pPr>
    <w:rPr>
      <w:rFonts w:eastAsiaTheme="minorHAnsi"/>
      <w:sz w:val="22"/>
      <w:szCs w:val="22"/>
      <w:vertAlign w:val="superscript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58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58F4"/>
    <w:rPr>
      <w:rFonts w:ascii="Segoe UI" w:eastAsia="Times New Roman" w:hAnsi="Segoe UI" w:cs="Segoe UI"/>
      <w:sz w:val="18"/>
      <w:szCs w:val="18"/>
      <w:lang w:eastAsia="ar-SA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6558F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rihlasenie.slovensko.sk/oamfed/idp/samlv20?SAMLRequest=jZHNbsIwEIRfJfLdsTEgiJVEQuKCBJdSVVUv1cbZNhaJnXodwuM30B%2b1p%2fa4o9nZb7T5ZoiNu8O3ASkml651pC9UF6yJsddCjOOYjvPUh1ehpJyJx8P%2baBrsgH2b7d9mbh1FcAZZsiMacHcbY8GUVIrPFJfLe5npRabVKp20p8m3LdgzGFyvIKs4zpaSLzLMOFRywdfVuppLgyBNzZIHDGS9m9JSyZLtVMQ6iDflCkYTWR9s0wKhs5hS68%2fo6ORTOgkP3QvWwta9IOjas5KfxQo2BKc9kCXtoEPS0ejj5rDX0xXdBx%2b98S0r81uh8J8lIMJw5WLlFxeZJoA7wS%2boXHxklrn4%2bZ3yHQ%3d%3d&amp;SigAlg=http%3a%2f%2fwww.w3.org%2f2001%2f04%2fxmldsig-more%23rsa-sha256&amp;Signature=W3LmUiizOAW6Spx421bpPfqCWbctWRxsAXPlZ4K0RuVaLDTJgAP8HxO5%2faySU0b8sipA7ZShtI1bIFOGV4li8arJsituG0paaDwZbKWcuwXjqxhrJcMn%2fyWSjWWIS%2bMztlmCnU7MUaIq5CEYufg3pioIzxVRigdobs3B%2bfspHPODrDwLbhKNUpw7bLTnj91532bj11teQgJBBTlxADGXZSgAnyTHPPJYYF4dew6GVtGo3JQi%2bEzLwHEC5oXdKl6f5NYCe%2bAgvFm5rbZxfKx6hKePRzy4aX36oEDGVfuzVqPB8rHyMA4zzG%2bg0%2bmMDYPHuOWcWKvX8LptB4WVJXiIyQ%3d%3d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prihlasenie.slovensko.sk/oamfed/idp/samlv20?SAMLRequest=jZHNbsIwEIRfJfLdsTEgiJVEQuKCBJdSVVUv1cbZNhaJnXodwuM30B%2b1p%2fa4o9nZb7T5ZoiNu8O3ASkml651pC9UF6yJsddCjOOYjvPUh1ehpJyJx8P%2baBrsgH2b7d9mbh1FcAZZsiMacHcbY8GUVIrPFJfLe5npRabVKp20p8m3LdgzGFyvIKs4zpaSLzLMOFRywdfVuppLgyBNzZIHDGS9m9JSyZLtVMQ6iDflCkYTWR9s0wKhs5hS68%2fo6ORTOgkP3QvWwta9IOjas5KfxQo2BKc9kCXtoEPS0ejj5rDX0xXdBx%2b98S0r81uh8J8lIMJw5WLlFxeZJoA7wS%2boXHxklrn4%2bZ3yHQ%3d%3d&amp;SigAlg=http%3a%2f%2fwww.w3.org%2f2001%2f04%2fxmldsig-more%23rsa-sha256&amp;Signature=W3LmUiizOAW6Spx421bpPfqCWbctWRxsAXPlZ4K0RuVaLDTJgAP8HxO5%2faySU0b8sipA7ZShtI1bIFOGV4li8arJsituG0paaDwZbKWcuwXjqxhrJcMn%2fyWSjWWIS%2bMztlmCnU7MUaIq5CEYufg3pioIzxVRigdobs3B%2bfspHPODrDwLbhKNUpw7bLTnj91532bj11teQgJBBTlxADGXZSgAnyTHPPJYYF4dew6GVtGo3JQi%2bEzLwHEC5oXdKl6f5NYCe%2bAgvFm5rbZxfKx6hKePRzy4aX36oEDGVfuzVqPB8rHyMA4zzG%2bg0%2bmMDYPHuOWcWKvX8LptB4WVJXiIyQ%3d%3d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4</Pages>
  <Words>1542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Dodatok č. 1 k Príručke pre prijímateľa nenávratného finančného príspevku z PRV SR 2014 - 2020</vt:lpstr>
    </vt:vector>
  </TitlesOfParts>
  <Company>PPA</Company>
  <LinksUpToDate>false</LinksUpToDate>
  <CharactersWithSpaces>10318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Dodatok č. 1 k Príručke pre prijímateľa nenávratného finančného príspevku z PRV SR 2014 - 2020</dc:title>
  <dc:subject/>
  <dc:creator>Kužma Emil</dc:creator>
  <cp:keywords/>
  <dc:description/>
  <cp:lastModifiedBy>Kužma Emil</cp:lastModifiedBy>
  <cp:revision>8</cp:revision>
  <cp:lastPrinted>2022-12-05T11:41:00Z</cp:lastPrinted>
  <dcterms:created xsi:type="dcterms:W3CDTF">2022-12-05T09:52:00Z</dcterms:created>
  <dcterms:modified xsi:type="dcterms:W3CDTF">2022-12-05T11:41:00Z</dcterms:modified>
</cp:coreProperties>
</file>