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13D09" w14:textId="77777777" w:rsidR="005D4273" w:rsidRDefault="005D4273"/>
    <w:p w14:paraId="762F7116" w14:textId="77777777" w:rsidR="009D7D66" w:rsidRDefault="009D7D66"/>
    <w:p w14:paraId="15124BA3" w14:textId="77777777" w:rsidR="009D7D66" w:rsidRDefault="009D7D66" w:rsidP="009D7D66">
      <w:pPr>
        <w:pStyle w:val="Hlavika"/>
        <w:tabs>
          <w:tab w:val="clear" w:pos="4536"/>
          <w:tab w:val="left" w:pos="5670"/>
        </w:tabs>
        <w:rPr>
          <w:b/>
          <w:color w:val="000000"/>
          <w:sz w:val="15"/>
          <w:szCs w:val="15"/>
        </w:rPr>
      </w:pPr>
    </w:p>
    <w:p w14:paraId="79EC5C64" w14:textId="77777777" w:rsidR="009D7D66" w:rsidRPr="000134E3" w:rsidRDefault="009D7D66" w:rsidP="009D7D66">
      <w:pPr>
        <w:pStyle w:val="Hlavika"/>
        <w:tabs>
          <w:tab w:val="clear" w:pos="4536"/>
          <w:tab w:val="left" w:pos="5670"/>
        </w:tabs>
        <w:jc w:val="center"/>
        <w:rPr>
          <w:rFonts w:asciiTheme="minorHAnsi" w:hAnsiTheme="minorHAnsi"/>
          <w:b/>
          <w:color w:val="000000"/>
          <w:sz w:val="15"/>
          <w:szCs w:val="15"/>
        </w:rPr>
      </w:pPr>
      <w:r w:rsidRPr="000134E3">
        <w:rPr>
          <w:rFonts w:asciiTheme="minorHAnsi" w:hAnsiTheme="minorHAnsi"/>
          <w:noProof/>
          <w:color w:val="1F497D"/>
          <w:lang w:eastAsia="sk-SK"/>
        </w:rPr>
        <w:drawing>
          <wp:inline distT="0" distB="0" distL="0" distR="6985" wp14:anchorId="6929BCFB" wp14:editId="0143E4BF">
            <wp:extent cx="1440815" cy="980440"/>
            <wp:effectExtent l="0" t="0" r="0" b="0"/>
            <wp:docPr id="12" name="Obrázok 1" descr="flag_yellow_l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 descr="flag_yellow_low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980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160A9" w14:textId="77777777" w:rsidR="009D7D66" w:rsidRPr="009D7D66" w:rsidRDefault="009D7D66" w:rsidP="009D7D66">
      <w:pPr>
        <w:spacing w:before="120"/>
        <w:jc w:val="center"/>
        <w:rPr>
          <w:rFonts w:asciiTheme="minorHAnsi" w:hAnsiTheme="minorHAnsi"/>
          <w:b/>
          <w:color w:val="000000"/>
          <w:sz w:val="20"/>
          <w:szCs w:val="15"/>
        </w:rPr>
      </w:pPr>
      <w:r w:rsidRPr="009D7D66">
        <w:rPr>
          <w:noProof/>
          <w:sz w:val="36"/>
          <w:lang w:eastAsia="sk-SK"/>
        </w:rPr>
        <w:drawing>
          <wp:anchor distT="114300" distB="114300" distL="114300" distR="114300" simplePos="0" relativeHeight="251659264" behindDoc="1" locked="0" layoutInCell="1" allowOverlap="1" wp14:anchorId="24AB14A8" wp14:editId="52443D62">
            <wp:simplePos x="0" y="0"/>
            <wp:positionH relativeFrom="column">
              <wp:posOffset>3853433</wp:posOffset>
            </wp:positionH>
            <wp:positionV relativeFrom="paragraph">
              <wp:posOffset>834927</wp:posOffset>
            </wp:positionV>
            <wp:extent cx="1764983" cy="1288111"/>
            <wp:effectExtent l="0" t="0" r="6985" b="7620"/>
            <wp:wrapNone/>
            <wp:docPr id="11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983" cy="12881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7D66">
        <w:rPr>
          <w:rFonts w:asciiTheme="minorHAnsi" w:hAnsiTheme="minorHAnsi"/>
          <w:b/>
          <w:color w:val="000000"/>
          <w:sz w:val="20"/>
          <w:szCs w:val="15"/>
        </w:rPr>
        <w:t>Európsky poľnohospodársky fond pre rozvoj vidieka: Európa investuje do vidieckych oblastí</w:t>
      </w:r>
    </w:p>
    <w:p w14:paraId="790628CE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7C5858F3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645954B1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212F23A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3BE37270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1FAA0496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87EB66C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10293576" w14:textId="77777777" w:rsidR="009D7D66" w:rsidRDefault="009D7D66" w:rsidP="009D7D66">
      <w:pPr>
        <w:rPr>
          <w:rFonts w:asciiTheme="minorHAnsi" w:hAnsiTheme="minorHAnsi"/>
          <w:b/>
          <w:color w:val="000000"/>
          <w:sz w:val="15"/>
          <w:szCs w:val="15"/>
        </w:rPr>
      </w:pPr>
      <w:r>
        <w:rPr>
          <w:noProof/>
          <w:sz w:val="22"/>
          <w:szCs w:val="22"/>
          <w:lang w:eastAsia="sk-SK"/>
        </w:rPr>
        <w:drawing>
          <wp:inline distT="0" distB="0" distL="0" distR="0" wp14:anchorId="1EF3C177" wp14:editId="0851C0C2">
            <wp:extent cx="2132965" cy="885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logo_sk_MPRV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048" b="28328"/>
                    <a:stretch/>
                  </pic:blipFill>
                  <pic:spPr bwMode="auto">
                    <a:xfrm>
                      <a:off x="0" y="0"/>
                      <a:ext cx="2132993" cy="8858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F4BCBF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22F9ACCD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F66FDE7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0D27610F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3AC343A2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34B56975" w14:textId="2E9B8E3D" w:rsidR="00005383" w:rsidRDefault="00005383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1DE872FA" w14:textId="798F9B7C" w:rsidR="00005383" w:rsidRDefault="00005383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154CECDE" w14:textId="77777777" w:rsidR="00005383" w:rsidRDefault="00005383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680C160A" w14:textId="4C588D9E" w:rsidR="00A811D4" w:rsidRPr="00A811D4" w:rsidRDefault="009D7D66" w:rsidP="00A811D4">
      <w:pPr>
        <w:jc w:val="both"/>
        <w:rPr>
          <w:rFonts w:asciiTheme="minorHAnsi" w:hAnsiTheme="minorHAnsi" w:cstheme="minorHAnsi"/>
          <w:b/>
          <w:sz w:val="32"/>
          <w:szCs w:val="32"/>
        </w:rPr>
      </w:pPr>
      <w:r w:rsidRPr="00A811D4">
        <w:rPr>
          <w:rFonts w:asciiTheme="minorHAnsi" w:hAnsiTheme="minorHAnsi" w:cstheme="minorHAnsi"/>
          <w:b/>
          <w:sz w:val="32"/>
          <w:szCs w:val="32"/>
        </w:rPr>
        <w:t xml:space="preserve">Dodatok č. </w:t>
      </w:r>
      <w:r w:rsidR="00A811D4" w:rsidRPr="00A811D4">
        <w:rPr>
          <w:rFonts w:asciiTheme="minorHAnsi" w:hAnsiTheme="minorHAnsi" w:cstheme="minorHAnsi"/>
          <w:b/>
          <w:sz w:val="32"/>
          <w:szCs w:val="32"/>
        </w:rPr>
        <w:t>1</w:t>
      </w:r>
      <w:r w:rsidRPr="00A811D4">
        <w:rPr>
          <w:rFonts w:asciiTheme="minorHAnsi" w:hAnsiTheme="minorHAnsi" w:cstheme="minorHAnsi"/>
          <w:b/>
          <w:sz w:val="32"/>
          <w:szCs w:val="32"/>
        </w:rPr>
        <w:t xml:space="preserve"> k</w:t>
      </w:r>
      <w:r w:rsidR="00A811D4" w:rsidRPr="00A811D4">
        <w:rPr>
          <w:rFonts w:asciiTheme="minorHAnsi" w:hAnsiTheme="minorHAnsi" w:cstheme="minorHAnsi"/>
          <w:b/>
          <w:sz w:val="32"/>
          <w:szCs w:val="32"/>
        </w:rPr>
        <w:t xml:space="preserve"> Príručke pre žiadateľa o poskytnutie nenávratného finančného príspevku z Programu rozvoja vidieka SR 2014 – 2022</w:t>
      </w:r>
      <w:r w:rsidR="00005383">
        <w:rPr>
          <w:rFonts w:asciiTheme="minorHAnsi" w:hAnsiTheme="minorHAnsi" w:cstheme="minorHAnsi"/>
          <w:b/>
          <w:sz w:val="32"/>
          <w:szCs w:val="32"/>
        </w:rPr>
        <w:t>, verzia 07</w:t>
      </w:r>
    </w:p>
    <w:p w14:paraId="40A0F033" w14:textId="32B673A5" w:rsidR="009D7D66" w:rsidRDefault="009D7D66" w:rsidP="004D26D5">
      <w:pPr>
        <w:jc w:val="both"/>
        <w:rPr>
          <w:rFonts w:asciiTheme="minorHAnsi" w:hAnsiTheme="minorHAnsi" w:cstheme="minorHAnsi"/>
          <w:b/>
          <w:sz w:val="32"/>
          <w:szCs w:val="32"/>
        </w:rPr>
      </w:pPr>
    </w:p>
    <w:p w14:paraId="1D540C3C" w14:textId="77777777" w:rsidR="004D26D5" w:rsidRDefault="004D26D5" w:rsidP="009D7D66">
      <w:pPr>
        <w:rPr>
          <w:rFonts w:asciiTheme="minorHAnsi" w:hAnsiTheme="minorHAnsi" w:cstheme="minorHAnsi"/>
          <w:b/>
          <w:szCs w:val="22"/>
        </w:rPr>
      </w:pPr>
    </w:p>
    <w:p w14:paraId="3C661BF6" w14:textId="6B0B1D23" w:rsidR="009D7D66" w:rsidRPr="009D7D66" w:rsidRDefault="009D7D66" w:rsidP="009D7D66">
      <w:pPr>
        <w:rPr>
          <w:rFonts w:asciiTheme="minorHAnsi" w:hAnsiTheme="minorHAnsi" w:cstheme="minorHAnsi"/>
          <w:b/>
          <w:szCs w:val="22"/>
        </w:rPr>
      </w:pPr>
      <w:r w:rsidRPr="009D7D66">
        <w:rPr>
          <w:rFonts w:asciiTheme="minorHAnsi" w:hAnsiTheme="minorHAnsi" w:cstheme="minorHAnsi"/>
          <w:b/>
          <w:szCs w:val="22"/>
        </w:rPr>
        <w:t>Účinnosť od:</w:t>
      </w:r>
      <w:r w:rsidR="00EC346B">
        <w:rPr>
          <w:rFonts w:asciiTheme="minorHAnsi" w:hAnsiTheme="minorHAnsi" w:cstheme="minorHAnsi"/>
          <w:b/>
          <w:szCs w:val="22"/>
        </w:rPr>
        <w:t xml:space="preserve"> </w:t>
      </w:r>
      <w:r w:rsidR="00EC346B" w:rsidRPr="00585533">
        <w:rPr>
          <w:rFonts w:asciiTheme="minorHAnsi" w:hAnsiTheme="minorHAnsi" w:cstheme="minorHAnsi"/>
          <w:b/>
          <w:szCs w:val="22"/>
        </w:rPr>
        <w:t>2</w:t>
      </w:r>
      <w:r w:rsidR="00A811D4">
        <w:rPr>
          <w:rFonts w:asciiTheme="minorHAnsi" w:hAnsiTheme="minorHAnsi" w:cstheme="minorHAnsi"/>
          <w:b/>
          <w:szCs w:val="22"/>
        </w:rPr>
        <w:t>4</w:t>
      </w:r>
      <w:r w:rsidRPr="00585533">
        <w:rPr>
          <w:rFonts w:asciiTheme="minorHAnsi" w:hAnsiTheme="minorHAnsi" w:cstheme="minorHAnsi"/>
          <w:b/>
          <w:szCs w:val="22"/>
        </w:rPr>
        <w:t>.</w:t>
      </w:r>
      <w:r w:rsidR="002C6AEA">
        <w:rPr>
          <w:rFonts w:asciiTheme="minorHAnsi" w:hAnsiTheme="minorHAnsi" w:cstheme="minorHAnsi"/>
          <w:b/>
          <w:szCs w:val="22"/>
        </w:rPr>
        <w:t>07</w:t>
      </w:r>
      <w:r w:rsidRPr="00585533">
        <w:rPr>
          <w:rFonts w:asciiTheme="minorHAnsi" w:hAnsiTheme="minorHAnsi" w:cstheme="minorHAnsi"/>
          <w:b/>
          <w:szCs w:val="22"/>
        </w:rPr>
        <w:t>.202</w:t>
      </w:r>
      <w:r w:rsidR="002C6AEA">
        <w:rPr>
          <w:rFonts w:asciiTheme="minorHAnsi" w:hAnsiTheme="minorHAnsi" w:cstheme="minorHAnsi"/>
          <w:b/>
          <w:szCs w:val="22"/>
        </w:rPr>
        <w:t>4</w:t>
      </w:r>
    </w:p>
    <w:p w14:paraId="344B6EC1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DA995B5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6DE1332B" w14:textId="77777777" w:rsidR="009D7D66" w:rsidRPr="009D7D66" w:rsidRDefault="009D7D66" w:rsidP="009D7D66">
      <w:pPr>
        <w:spacing w:after="200"/>
        <w:rPr>
          <w:rFonts w:asciiTheme="minorHAnsi" w:hAnsiTheme="minorHAnsi" w:cstheme="minorHAnsi"/>
          <w:b/>
        </w:rPr>
      </w:pPr>
      <w:r w:rsidRPr="009D7D66">
        <w:rPr>
          <w:rFonts w:asciiTheme="minorHAnsi" w:hAnsiTheme="minorHAnsi" w:cstheme="minorHAnsi"/>
          <w:b/>
        </w:rPr>
        <w:t>Vypracoval:</w:t>
      </w:r>
      <w:r>
        <w:rPr>
          <w:rFonts w:asciiTheme="minorHAnsi" w:hAnsiTheme="minorHAnsi" w:cstheme="minorHAnsi"/>
          <w:b/>
        </w:rPr>
        <w:tab/>
      </w:r>
      <w:r w:rsidRPr="009D7D66">
        <w:rPr>
          <w:rFonts w:asciiTheme="minorHAnsi" w:hAnsiTheme="minorHAnsi" w:cstheme="minorHAnsi"/>
          <w:b/>
        </w:rPr>
        <w:t>Pôdohospodárska platobná agentúra, zastúpená</w:t>
      </w:r>
    </w:p>
    <w:p w14:paraId="7374E08B" w14:textId="6C75EC55" w:rsidR="009D7D66" w:rsidRPr="009D7D66" w:rsidRDefault="002C6AEA" w:rsidP="009D7D66">
      <w:pPr>
        <w:ind w:left="708" w:firstLine="708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Ing. Marekom Čepkom</w:t>
      </w:r>
      <w:r w:rsidR="009D7D66" w:rsidRPr="009D7D66">
        <w:rPr>
          <w:rFonts w:asciiTheme="minorHAnsi" w:hAnsiTheme="minorHAnsi" w:cstheme="minorHAnsi"/>
        </w:rPr>
        <w:t>, generálnym riaditeľom</w:t>
      </w:r>
    </w:p>
    <w:p w14:paraId="65D7324C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6ECDAD14" w14:textId="77777777" w:rsidR="009D7D66" w:rsidRDefault="009D7D66" w:rsidP="009D7D66">
      <w:pPr>
        <w:jc w:val="center"/>
      </w:pPr>
    </w:p>
    <w:p w14:paraId="6375DBB0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3B79DFDB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4D8DA422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4DDE8272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32FEC5D9" w14:textId="77777777" w:rsidR="002A5A8A" w:rsidRDefault="002A5A8A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6C3F1DF0" w14:textId="2F9CF20E" w:rsidR="009D7D66" w:rsidRP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9D7D66">
        <w:rPr>
          <w:rFonts w:asciiTheme="minorHAnsi" w:hAnsiTheme="minorHAnsi" w:cstheme="minorHAnsi"/>
          <w:lang w:eastAsia="en-US"/>
        </w:rPr>
        <w:t xml:space="preserve">Bratislava </w:t>
      </w:r>
      <w:r w:rsidR="002C6AEA">
        <w:rPr>
          <w:rFonts w:asciiTheme="minorHAnsi" w:hAnsiTheme="minorHAnsi" w:cstheme="minorHAnsi"/>
          <w:lang w:eastAsia="en-US"/>
        </w:rPr>
        <w:t>2024</w:t>
      </w:r>
    </w:p>
    <w:p w14:paraId="75D7787E" w14:textId="77777777" w:rsidR="009D7D66" w:rsidRPr="009D7D66" w:rsidRDefault="009D7D66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9D7D66">
        <w:rPr>
          <w:rFonts w:asciiTheme="minorHAnsi" w:hAnsiTheme="minorHAnsi" w:cstheme="minorHAnsi"/>
          <w:b/>
        </w:rPr>
        <w:lastRenderedPageBreak/>
        <w:t>Článok 1</w:t>
      </w:r>
    </w:p>
    <w:p w14:paraId="6636631F" w14:textId="37C1C305" w:rsidR="009D7D66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Dodatkom č. </w:t>
      </w:r>
      <w:r w:rsidR="00005383">
        <w:rPr>
          <w:rFonts w:asciiTheme="minorHAnsi" w:hAnsiTheme="minorHAnsi" w:cstheme="minorHAnsi"/>
          <w:sz w:val="22"/>
        </w:rPr>
        <w:t>1</w:t>
      </w:r>
      <w:r w:rsidRPr="006558F4">
        <w:rPr>
          <w:rFonts w:asciiTheme="minorHAnsi" w:hAnsiTheme="minorHAnsi" w:cstheme="minorHAnsi"/>
          <w:sz w:val="22"/>
        </w:rPr>
        <w:t xml:space="preserve"> </w:t>
      </w:r>
      <w:r w:rsidR="0019157F">
        <w:rPr>
          <w:rFonts w:asciiTheme="minorHAnsi" w:hAnsiTheme="minorHAnsi" w:cstheme="minorHAnsi"/>
          <w:sz w:val="22"/>
        </w:rPr>
        <w:t xml:space="preserve">sa upravuje </w:t>
      </w:r>
      <w:r w:rsidR="00005383" w:rsidRPr="00005383">
        <w:rPr>
          <w:rFonts w:asciiTheme="minorHAnsi" w:hAnsiTheme="minorHAnsi" w:cstheme="minorHAnsi"/>
          <w:bCs/>
          <w:sz w:val="22"/>
        </w:rPr>
        <w:t xml:space="preserve">Príručka pre žiadateľa </w:t>
      </w:r>
      <w:r w:rsidR="00005383" w:rsidRPr="00A811D4">
        <w:rPr>
          <w:rFonts w:asciiTheme="minorHAnsi" w:hAnsiTheme="minorHAnsi" w:cstheme="minorHAnsi"/>
          <w:bCs/>
          <w:sz w:val="22"/>
        </w:rPr>
        <w:t>o poskytnutie nenávratného finančného príspevku</w:t>
      </w:r>
      <w:r w:rsidR="00005383" w:rsidRPr="00005383">
        <w:rPr>
          <w:rFonts w:asciiTheme="minorHAnsi" w:hAnsiTheme="minorHAnsi" w:cstheme="minorHAnsi"/>
          <w:bCs/>
          <w:sz w:val="22"/>
        </w:rPr>
        <w:t xml:space="preserve"> </w:t>
      </w:r>
      <w:r w:rsidR="00005383" w:rsidRPr="00A811D4">
        <w:rPr>
          <w:rFonts w:asciiTheme="minorHAnsi" w:hAnsiTheme="minorHAnsi" w:cstheme="minorHAnsi"/>
          <w:bCs/>
          <w:sz w:val="22"/>
        </w:rPr>
        <w:t>z Programu rozvoja vidieka SR 2014 – 2022</w:t>
      </w:r>
      <w:r w:rsidR="00005383" w:rsidRPr="00005383">
        <w:rPr>
          <w:rFonts w:asciiTheme="minorHAnsi" w:hAnsiTheme="minorHAnsi" w:cstheme="minorHAnsi"/>
          <w:bCs/>
          <w:sz w:val="22"/>
        </w:rPr>
        <w:t>, verzia 07</w:t>
      </w:r>
      <w:r w:rsidR="002C6AEA">
        <w:rPr>
          <w:rFonts w:asciiTheme="minorHAnsi" w:hAnsiTheme="minorHAnsi" w:cstheme="minorHAnsi"/>
          <w:sz w:val="22"/>
        </w:rPr>
        <w:t xml:space="preserve"> </w:t>
      </w:r>
      <w:r w:rsidR="008A6761">
        <w:rPr>
          <w:rFonts w:asciiTheme="minorHAnsi" w:hAnsiTheme="minorHAnsi" w:cstheme="minorHAnsi"/>
          <w:sz w:val="22"/>
        </w:rPr>
        <w:t xml:space="preserve">sa </w:t>
      </w:r>
      <w:r w:rsidR="0019157F">
        <w:rPr>
          <w:rFonts w:asciiTheme="minorHAnsi" w:hAnsiTheme="minorHAnsi" w:cstheme="minorHAnsi"/>
          <w:sz w:val="22"/>
        </w:rPr>
        <w:t>nasledovne</w:t>
      </w:r>
      <w:r w:rsidR="009D7D66" w:rsidRPr="006558F4">
        <w:rPr>
          <w:rFonts w:asciiTheme="minorHAnsi" w:hAnsiTheme="minorHAnsi" w:cstheme="minorHAnsi"/>
          <w:sz w:val="22"/>
        </w:rPr>
        <w:t>:</w:t>
      </w:r>
    </w:p>
    <w:p w14:paraId="68BECDAB" w14:textId="4581BA07" w:rsidR="006558F4" w:rsidRDefault="006558F4" w:rsidP="009D7D66">
      <w:pPr>
        <w:spacing w:line="360" w:lineRule="auto"/>
        <w:jc w:val="both"/>
        <w:rPr>
          <w:rFonts w:asciiTheme="minorHAnsi" w:hAnsiTheme="minorHAnsi" w:cstheme="minorHAnsi"/>
        </w:rPr>
      </w:pPr>
    </w:p>
    <w:p w14:paraId="592ED80E" w14:textId="40F1DC3A" w:rsidR="006757CA" w:rsidRPr="002C6AEA" w:rsidRDefault="006757CA" w:rsidP="002C6AEA">
      <w:pPr>
        <w:pStyle w:val="Odsekzoznamu"/>
        <w:numPr>
          <w:ilvl w:val="0"/>
          <w:numId w:val="7"/>
        </w:numPr>
        <w:spacing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2C6AEA">
        <w:rPr>
          <w:rFonts w:asciiTheme="minorHAnsi" w:hAnsiTheme="minorHAnsi" w:cstheme="minorHAnsi"/>
          <w:sz w:val="22"/>
        </w:rPr>
        <w:t xml:space="preserve">V kapitole </w:t>
      </w:r>
      <w:bookmarkStart w:id="0" w:name="_Toc110004310"/>
      <w:r w:rsidR="002C6AEA" w:rsidRPr="002C6AEA">
        <w:rPr>
          <w:rFonts w:asciiTheme="minorHAnsi" w:hAnsiTheme="minorHAnsi" w:cstheme="minorHAnsi"/>
          <w:sz w:val="22"/>
        </w:rPr>
        <w:t>1</w:t>
      </w:r>
      <w:r w:rsidRPr="002C6AEA">
        <w:rPr>
          <w:rFonts w:asciiTheme="minorHAnsi" w:hAnsiTheme="minorHAnsi" w:cstheme="minorHAnsi"/>
          <w:sz w:val="22"/>
        </w:rPr>
        <w:t xml:space="preserve">. </w:t>
      </w:r>
      <w:r w:rsidR="002C6AEA" w:rsidRPr="002C6AEA">
        <w:rPr>
          <w:rFonts w:asciiTheme="minorHAnsi" w:hAnsiTheme="minorHAnsi" w:cstheme="minorHAnsi"/>
          <w:sz w:val="22"/>
        </w:rPr>
        <w:t>Základné informácie</w:t>
      </w:r>
      <w:r w:rsidR="008A6761" w:rsidRPr="002C6AEA">
        <w:rPr>
          <w:rFonts w:asciiTheme="minorHAnsi" w:hAnsiTheme="minorHAnsi" w:cstheme="minorHAnsi"/>
          <w:sz w:val="22"/>
        </w:rPr>
        <w:t xml:space="preserve"> </w:t>
      </w:r>
      <w:bookmarkEnd w:id="0"/>
      <w:r w:rsidR="002C6AEA">
        <w:rPr>
          <w:rFonts w:asciiTheme="minorHAnsi" w:hAnsiTheme="minorHAnsi" w:cstheme="minorHAnsi"/>
          <w:sz w:val="22"/>
        </w:rPr>
        <w:t>sa dopĺňa časť 1.</w:t>
      </w:r>
      <w:r w:rsidR="00005383">
        <w:rPr>
          <w:rFonts w:asciiTheme="minorHAnsi" w:hAnsiTheme="minorHAnsi" w:cstheme="minorHAnsi"/>
          <w:sz w:val="22"/>
        </w:rPr>
        <w:t>3</w:t>
      </w:r>
      <w:r w:rsidR="002C6AEA">
        <w:rPr>
          <w:rFonts w:asciiTheme="minorHAnsi" w:hAnsiTheme="minorHAnsi" w:cstheme="minorHAnsi"/>
          <w:sz w:val="22"/>
        </w:rPr>
        <w:t>. „</w:t>
      </w:r>
      <w:r w:rsidR="002C6AEA" w:rsidRPr="002C6AEA">
        <w:rPr>
          <w:rFonts w:asciiTheme="minorHAnsi" w:hAnsiTheme="minorHAnsi" w:cstheme="minorHAnsi"/>
          <w:sz w:val="22"/>
        </w:rPr>
        <w:t>Etické hodnoty a</w:t>
      </w:r>
      <w:r w:rsidR="002C6AEA">
        <w:rPr>
          <w:rFonts w:asciiTheme="minorHAnsi" w:hAnsiTheme="minorHAnsi" w:cstheme="minorHAnsi"/>
          <w:sz w:val="22"/>
        </w:rPr>
        <w:t> </w:t>
      </w:r>
      <w:r w:rsidR="002C6AEA" w:rsidRPr="002C6AEA">
        <w:rPr>
          <w:rFonts w:asciiTheme="minorHAnsi" w:hAnsiTheme="minorHAnsi" w:cstheme="minorHAnsi"/>
          <w:sz w:val="22"/>
        </w:rPr>
        <w:t>Integrita</w:t>
      </w:r>
      <w:r w:rsidR="002C6AEA">
        <w:rPr>
          <w:rFonts w:asciiTheme="minorHAnsi" w:hAnsiTheme="minorHAnsi" w:cstheme="minorHAnsi"/>
          <w:sz w:val="22"/>
        </w:rPr>
        <w:t>“ nasledovného znenia</w:t>
      </w:r>
      <w:r w:rsidR="008A6761" w:rsidRPr="002C6AEA">
        <w:rPr>
          <w:rFonts w:asciiTheme="minorHAnsi" w:hAnsiTheme="minorHAnsi" w:cstheme="minorHAnsi"/>
          <w:sz w:val="22"/>
        </w:rPr>
        <w:t>:</w:t>
      </w:r>
      <w:r w:rsidRPr="002C6AEA">
        <w:rPr>
          <w:rFonts w:asciiTheme="minorHAnsi" w:hAnsiTheme="minorHAnsi" w:cstheme="minorHAnsi"/>
          <w:sz w:val="22"/>
        </w:rPr>
        <w:t xml:space="preserve"> </w:t>
      </w:r>
    </w:p>
    <w:p w14:paraId="0F6D1CE9" w14:textId="2D9613B1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>
        <w:rPr>
          <w:rFonts w:asciiTheme="minorHAnsi" w:eastAsiaTheme="minorHAnsi" w:hAnsiTheme="minorHAnsi" w:cstheme="minorHAnsi"/>
          <w:i/>
          <w:iCs/>
          <w:sz w:val="22"/>
        </w:rPr>
        <w:t>PPA</w:t>
      </w:r>
      <w:r w:rsidRPr="002C6AEA">
        <w:rPr>
          <w:rFonts w:asciiTheme="minorHAnsi" w:eastAsiaTheme="minorHAnsi" w:hAnsiTheme="minorHAnsi" w:cstheme="minorHAnsi"/>
          <w:sz w:val="22"/>
        </w:rPr>
        <w:t>, (Poskytovateľ) ako aj Prijímateľ sú povinn</w:t>
      </w:r>
      <w:r w:rsidR="004E55AD">
        <w:rPr>
          <w:rFonts w:asciiTheme="minorHAnsi" w:eastAsiaTheme="minorHAnsi" w:hAnsiTheme="minorHAnsi" w:cstheme="minorHAnsi"/>
          <w:sz w:val="22"/>
        </w:rPr>
        <w:t>í</w:t>
      </w:r>
      <w:r w:rsidRPr="002C6AEA">
        <w:rPr>
          <w:rFonts w:asciiTheme="minorHAnsi" w:eastAsiaTheme="minorHAnsi" w:hAnsiTheme="minorHAnsi" w:cstheme="minorHAnsi"/>
          <w:sz w:val="22"/>
        </w:rPr>
        <w:t xml:space="preserve"> pri výkone práv a plnení povinností uplatňovať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hodnoty</w:t>
      </w:r>
      <w:r w:rsidRPr="002C6AEA">
        <w:rPr>
          <w:rFonts w:asciiTheme="minorHAnsi" w:eastAsiaTheme="minorHAnsi" w:hAnsiTheme="minorHAnsi" w:cstheme="minorHAnsi"/>
          <w:sz w:val="22"/>
        </w:rPr>
        <w:t xml:space="preserve">, ktorými sú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sloboda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,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spravodlivosť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,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zodpovednosť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,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 xml:space="preserve"> rešpektovanie </w:t>
      </w:r>
      <w:r w:rsidRPr="002C6AEA">
        <w:rPr>
          <w:rFonts w:asciiTheme="minorHAnsi" w:eastAsiaTheme="minorHAnsi" w:hAnsiTheme="minorHAnsi" w:cstheme="minorHAnsi"/>
          <w:sz w:val="22"/>
        </w:rPr>
        <w:t>a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 čestnosť</w:t>
      </w:r>
      <w:r w:rsidRPr="002C6AEA">
        <w:rPr>
          <w:rFonts w:asciiTheme="minorHAnsi" w:eastAsiaTheme="minorHAnsi" w:hAnsiTheme="minorHAnsi" w:cstheme="minorHAnsi"/>
          <w:sz w:val="22"/>
        </w:rPr>
        <w:t>:</w:t>
      </w:r>
    </w:p>
    <w:p w14:paraId="67FAD356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1C8A6907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Sloboda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je dôležitá etická hodnota, pri ktorej môžeme konať vo vzťahu k vlastnej vôli, môžeme mať slobodu tlače alebo slobodu prejavu a iné, ktoré sú dôležité pre spoločnosť a jednotlivca samotného.</w:t>
      </w:r>
    </w:p>
    <w:p w14:paraId="04EC02C5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Spravodlivosť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musí byť rovnaká pre všetkých ľudí a musí byť regulovaná aj prostredníctvom série spoločensky prijatých predpisov. Môže sa líšiť od jednej spoločnosti k druhej. Navyše, pojem spravodlivosť je tiež subjektívny, ak súvisí s nejakým činom alebo konkrétnou skúsenosťou, preto je spravodlivosť objektívnou etickou hodnotou ako sociálny regulačný rámec a tiež subjektívna pri hodnotení určitých skúseností, ktoré sa vyskytujú v každodennom živote.</w:t>
      </w:r>
    </w:p>
    <w:p w14:paraId="6D32EF25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Rešpektovanie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je to dôležitý základ, na ktorom je postavená väčšina vzťahov. Je to etická hodnota, ktorá sa získava od detstva a určuje naše spoločenské správanie s ostatnými. Okrem toho, je to niečo obojsmerné, je to spôsob, ako to uviesť do praxe. Úcta k rodičom, deťom, učiteľom alebo zvieratám. Konanie s úctou k nim, prostredníctvom tolerancie a porozumenia, je jedným zo základných kľúčov k udržaniu pozitívnych vzťahov.</w:t>
      </w:r>
    </w:p>
    <w:p w14:paraId="560D4564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Zodpovednosť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sa preberá počas celého života človeka. Pri vedomom a odhodlanom spôsobe. Napr.: adopcia zvieraťa a starostlivosť oň po celý život alebo prijatie povinností z dôležitej práce.</w:t>
      </w:r>
    </w:p>
    <w:p w14:paraId="562BFD58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Čestnosť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je definovaná ako úprimnosť k sebe samému a k tomu, čo nás obklopuje, nám pomáha byť v živote dôslední. Je to spôsob, ako byť v zhode, čo človek cíti a ako to súvisí so svetom všeobecne. Úprimnosť je dôležitá etická hodnota, pretože vnáša do vzťahov s ľuďmi súdržnosť, rešpekt a predovšetkým hodnotu.</w:t>
      </w:r>
    </w:p>
    <w:p w14:paraId="39773C46" w14:textId="17E5A522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t>Etika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  <w:r w:rsidRPr="002C6AEA">
        <w:rPr>
          <w:rFonts w:asciiTheme="minorHAnsi" w:eastAsiaTheme="minorHAnsi" w:hAnsiTheme="minorHAnsi" w:cstheme="minorHAnsi"/>
          <w:sz w:val="22"/>
        </w:rPr>
        <w:t>je disciplínou praktickej filozofie, vo všeobecnosti možno povedať, že etika je filozofickým (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teda racionálnym a kritickým</w:t>
      </w:r>
      <w:r w:rsidRPr="002C6AEA">
        <w:rPr>
          <w:rFonts w:asciiTheme="minorHAnsi" w:eastAsiaTheme="minorHAnsi" w:hAnsiTheme="minorHAnsi" w:cstheme="minorHAnsi"/>
          <w:sz w:val="22"/>
        </w:rPr>
        <w:t xml:space="preserve">) uvažovaním o tom, čo je a čo nie je dobré ľudské konanie. Toto uvažovanie sa usiluje o to, aby nám poskytlo súbor kritérií, ktoré umožnia morálne hodnotiť a usmerniť naše konanie. Etika sa zaoberá spôsobmi správania a konania, ktoré určujú činnosť jednotlivcov v spoločnosti. Takisto sa usiluje nájsť odpovede na otázku ako má jednotlivec konať vo vzťahu k sebe, svojmu okoliu a iným ľuďom. Etika je zároveň teóriou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morálky a mravnosti</w:t>
      </w:r>
      <w:r w:rsidRPr="002C6AEA">
        <w:rPr>
          <w:rFonts w:asciiTheme="minorHAnsi" w:eastAsiaTheme="minorHAnsi" w:hAnsiTheme="minorHAnsi" w:cstheme="minorHAnsi"/>
          <w:sz w:val="22"/>
        </w:rPr>
        <w:t>, ktorá zároveň poskytuje praktické návody na správanie a konanie ľudí v súkromnom, pracovnom a verejnom živote.</w:t>
      </w:r>
    </w:p>
    <w:p w14:paraId="2E501389" w14:textId="5FFCBBED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t xml:space="preserve">Etika je vedná disciplína, ktorá sa zaoberá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morálkou </w:t>
      </w:r>
      <w:r w:rsidRPr="002C6AEA">
        <w:rPr>
          <w:rFonts w:asciiTheme="minorHAnsi" w:eastAsiaTheme="minorHAnsi" w:hAnsiTheme="minorHAnsi" w:cstheme="minorHAnsi"/>
          <w:sz w:val="22"/>
        </w:rPr>
        <w:t>(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tú môžeme charakterizovať ako spoločenský jav, ktorý odráža medziľudské vzťahy a ľudskú činnosť z aspektu dobra a zla. Spolu s termínom morálka sa objavuje aj termín mravnosť. Tento termín by sme zasa mohli použiť na označenie takej vôle ľudí a jej prejavov, ktoré sa všeobecne uplatňujú a uznávajú v spoločnosti</w:t>
      </w:r>
      <w:r w:rsidRPr="002C6AEA">
        <w:rPr>
          <w:rFonts w:asciiTheme="minorHAnsi" w:eastAsiaTheme="minorHAnsi" w:hAnsiTheme="minorHAnsi" w:cstheme="minorHAnsi"/>
          <w:sz w:val="22"/>
        </w:rPr>
        <w:t>)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, mravnou stránkou života človeka, jeho vonkajšieho prejavu, jednania a vzťahu k ľuďom, ktorá sa navyše usiluje viesť človeka k dobru, skúma ľudské správanie z hľadiska jeho morálnej hodnoty a usiluje nájsť meradlo, ktoré by umožnilo človeku rozhodnúť, čo je dobro, čo je zlo, čestnosť, nečestnosť</w:t>
      </w:r>
      <w:r w:rsidRPr="002C6AEA">
        <w:rPr>
          <w:rFonts w:asciiTheme="minorHAnsi" w:eastAsiaTheme="minorHAnsi" w:hAnsiTheme="minorHAnsi" w:cstheme="minorHAnsi"/>
          <w:sz w:val="22"/>
        </w:rPr>
        <w:t xml:space="preserve">. </w:t>
      </w:r>
    </w:p>
    <w:p w14:paraId="510A3AE5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t xml:space="preserve">Dodržiavanie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Etických hodnôt</w:t>
      </w:r>
      <w:r w:rsidRPr="002C6AEA">
        <w:rPr>
          <w:rFonts w:asciiTheme="minorHAnsi" w:eastAsiaTheme="minorHAnsi" w:hAnsiTheme="minorHAnsi" w:cstheme="minorHAnsi"/>
          <w:sz w:val="22"/>
        </w:rPr>
        <w:t xml:space="preserve"> a správania je zvlášť dôležité. Hodnoty vychádzajú zo základných záujmov jednotlivca, ale aj celej spoločnosti. Každý človek má iný rebríček hodnôt.</w:t>
      </w:r>
    </w:p>
    <w:p w14:paraId="7291095D" w14:textId="7DC2643C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lastRenderedPageBreak/>
        <w:t xml:space="preserve">Inými slovami, nejde len o to, oboznámiť sa s tým, čo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jednotliví ľudia, či ľudské spoločenstvá považujú za morálne dobré</w:t>
      </w:r>
      <w:r w:rsidRPr="002C6AEA">
        <w:rPr>
          <w:rFonts w:asciiTheme="minorHAnsi" w:eastAsiaTheme="minorHAnsi" w:hAnsiTheme="minorHAnsi" w:cstheme="minorHAnsi"/>
          <w:sz w:val="22"/>
        </w:rPr>
        <w:t>, ale aby sme týmto smerom usmernili vlastné konanie.</w:t>
      </w:r>
    </w:p>
    <w:p w14:paraId="4121318B" w14:textId="258C5CA4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hodnoty</w:t>
      </w:r>
      <w:r w:rsidRPr="002C6AEA">
        <w:rPr>
          <w:rFonts w:asciiTheme="minorHAnsi" w:eastAsiaTheme="minorHAnsi" w:hAnsiTheme="minorHAnsi" w:cstheme="minorHAnsi"/>
          <w:sz w:val="22"/>
        </w:rPr>
        <w:t xml:space="preserve"> vo všeobecnosti stanovujú štandardy, ktoré reprezentujú spravidla zvýšené alebo sprísnené nároky daného spoločenstva na spôsob konania a správania sa jeho členov. Sú </w:t>
      </w:r>
      <w:proofErr w:type="spellStart"/>
      <w:r w:rsidRPr="002C6AEA">
        <w:rPr>
          <w:rFonts w:asciiTheme="minorHAnsi" w:eastAsiaTheme="minorHAnsi" w:hAnsiTheme="minorHAnsi" w:cstheme="minorHAnsi"/>
          <w:sz w:val="22"/>
        </w:rPr>
        <w:t>vodítkami</w:t>
      </w:r>
      <w:proofErr w:type="spellEnd"/>
      <w:r w:rsidRPr="002C6AEA">
        <w:rPr>
          <w:rFonts w:asciiTheme="minorHAnsi" w:eastAsiaTheme="minorHAnsi" w:hAnsiTheme="minorHAnsi" w:cstheme="minorHAnsi"/>
          <w:sz w:val="22"/>
        </w:rPr>
        <w:t xml:space="preserve"> správania, ktoré sú bežne prijímané spoločenským spôsobom a pomáhajú rozlišovať, čo je správne alebo nesprávne. Napriek tomu, že zoznam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hodnôt</w:t>
      </w:r>
      <w:r w:rsidRPr="002C6AEA">
        <w:rPr>
          <w:rFonts w:asciiTheme="minorHAnsi" w:eastAsiaTheme="minorHAnsi" w:hAnsiTheme="minorHAnsi" w:cstheme="minorHAnsi"/>
          <w:sz w:val="22"/>
        </w:rPr>
        <w:t xml:space="preserve"> môže byť nevyčísliteľný a vždy závisí od atribútu osoby, je potrebné brať do úvahy niektoré základné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hodnoty.</w:t>
      </w:r>
    </w:p>
    <w:p w14:paraId="2624C96C" w14:textId="14CAC963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t xml:space="preserve">Hlavnou funkciou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Etických hodnôt</w:t>
      </w:r>
      <w:r w:rsidRPr="002C6AEA">
        <w:rPr>
          <w:rFonts w:asciiTheme="minorHAnsi" w:eastAsiaTheme="minorHAnsi" w:hAnsiTheme="minorHAnsi" w:cstheme="minorHAnsi"/>
          <w:sz w:val="22"/>
        </w:rPr>
        <w:t xml:space="preserve"> je regulácia správania sa jednotlivca alebo celej skupiny v súlade s určitými normami. Spravidla nejde o vyššie morálne štandardy, ale o všeobecne prijímané normy, ktoré platia v bežnej spoločnosti a v medziľudských vzťahoch. Etické hodnoty zohrávajú významnú úlohu, určujú povahu práce i povahu vzťahu, a zároveň ovplyvňujú správanie a konanie v rôznych situáciách.</w:t>
      </w:r>
    </w:p>
    <w:p w14:paraId="5147F97A" w14:textId="77777777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Zásady integrity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  <w:r w:rsidRPr="002C6AEA">
        <w:rPr>
          <w:rFonts w:asciiTheme="minorHAnsi" w:eastAsiaTheme="minorHAnsi" w:hAnsiTheme="minorHAnsi" w:cstheme="minorHAnsi"/>
          <w:sz w:val="22"/>
        </w:rPr>
        <w:t xml:space="preserve">sú základné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princípy</w:t>
      </w:r>
      <w:r w:rsidRPr="002C6AEA">
        <w:rPr>
          <w:rFonts w:asciiTheme="minorHAnsi" w:eastAsiaTheme="minorHAnsi" w:hAnsiTheme="minorHAnsi" w:cstheme="minorHAnsi"/>
          <w:sz w:val="22"/>
        </w:rPr>
        <w:t>, ktoré ovplyvňujú rozhodovanie a konanie osôb, na ktoré sa tieto zásady vzťahujú a to tak, aby svojím správaním upevňovali dôveru verejnosti v právny štát a kvalitu verejných služieb.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</w:p>
    <w:p w14:paraId="513AA10D" w14:textId="429C8B38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Verejná integrita </w:t>
      </w:r>
      <w:r w:rsidRPr="002C6AEA">
        <w:rPr>
          <w:rFonts w:asciiTheme="minorHAnsi" w:eastAsiaTheme="minorHAnsi" w:hAnsiTheme="minorHAnsi" w:cstheme="minorHAnsi"/>
          <w:sz w:val="22"/>
        </w:rPr>
        <w:t>je dôsledný súlad konania osoby so spoločnými etickými zásadami, normami a hodnotami s cieľom podporovať a uprednostňovať verejný záujem pred súkromnými záujmami vo verejnom záujme, kde sa chápe, že sa bude dodržiavať poctivosť, čestnosť, nestrannosť, rešpektovanie dôstojnosti, nezaujatosť, slušnosť, transparentnosť, korektnosť a dôveryhodnosť pri vykonávaní úradných povinností a zverených právomocí.</w:t>
      </w:r>
    </w:p>
    <w:p w14:paraId="4F541AA2" w14:textId="77777777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Zásady integrity</w:t>
      </w:r>
      <w:r w:rsidRPr="002C6AEA">
        <w:rPr>
          <w:rFonts w:asciiTheme="minorHAnsi" w:eastAsiaTheme="minorHAnsi" w:hAnsiTheme="minorHAnsi" w:cstheme="minorHAnsi"/>
          <w:sz w:val="22"/>
        </w:rPr>
        <w:t xml:space="preserve"> zároveň stanovujú minimálne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štandardy/etické úpravy</w:t>
      </w:r>
      <w:r w:rsidRPr="002C6AEA">
        <w:rPr>
          <w:rFonts w:asciiTheme="minorHAnsi" w:eastAsiaTheme="minorHAnsi" w:hAnsiTheme="minorHAnsi" w:cstheme="minorHAnsi"/>
          <w:sz w:val="22"/>
        </w:rPr>
        <w:t xml:space="preserve">, v ktorých sa môžu vyskytovať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pravidlá etiky a integrity</w:t>
      </w:r>
      <w:r w:rsidRPr="002C6AEA">
        <w:rPr>
          <w:rFonts w:asciiTheme="minorHAnsi" w:eastAsiaTheme="minorHAnsi" w:hAnsiTheme="minorHAnsi" w:cstheme="minorHAnsi"/>
          <w:sz w:val="22"/>
        </w:rPr>
        <w:t xml:space="preserve"> upravené podľa potrieb jednotlivých odvetví.</w:t>
      </w:r>
    </w:p>
    <w:p w14:paraId="688E922A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408A42E1" w14:textId="77777777" w:rsidR="002C6AEA" w:rsidRPr="002C6AEA" w:rsidRDefault="002C6AEA" w:rsidP="007166A4">
      <w:pPr>
        <w:pStyle w:val="Odsekzoznamu"/>
        <w:spacing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Medzi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  <w:u w:val="single"/>
        </w:rPr>
        <w:t>základné zásady integrity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môžeme zaradiť</w:t>
      </w:r>
      <w:r w:rsidRPr="002C6AEA">
        <w:rPr>
          <w:rFonts w:asciiTheme="minorHAnsi" w:eastAsiaTheme="minorHAnsi" w:hAnsiTheme="minorHAnsi" w:cstheme="minorHAnsi"/>
          <w:sz w:val="22"/>
        </w:rPr>
        <w:t>:</w:t>
      </w:r>
    </w:p>
    <w:p w14:paraId="605D2FA3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Zásada presadzovania verejného záujmu –</w:t>
      </w:r>
      <w:r w:rsidRPr="002C6AEA">
        <w:rPr>
          <w:rFonts w:asciiTheme="minorHAnsi" w:eastAsiaTheme="minorHAnsi" w:hAnsiTheme="minorHAnsi" w:cstheme="minorHAnsi"/>
          <w:sz w:val="22"/>
        </w:rPr>
        <w:t xml:space="preserve"> na základe tejto zásady, musia dotknuté osoby výlučne konať vo verejnom záujme a zároveň musia predchádzať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konfliktu záujmov</w:t>
      </w:r>
      <w:r w:rsidRPr="002C6AEA">
        <w:rPr>
          <w:rFonts w:asciiTheme="minorHAnsi" w:eastAsiaTheme="minorHAnsi" w:hAnsiTheme="minorHAnsi" w:cstheme="minorHAnsi"/>
          <w:sz w:val="22"/>
        </w:rPr>
        <w:t xml:space="preserve"> (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v zmysle čl. 61 nariadenia európskeho Parlamentu a Rady č. 2018/1046 (Ú. v. EÚ, L 193)</w:t>
      </w:r>
      <w:r w:rsidRPr="002C6AEA">
        <w:rPr>
          <w:rFonts w:asciiTheme="minorHAnsi" w:eastAsiaTheme="minorHAnsi" w:hAnsiTheme="minorHAnsi" w:cstheme="minorHAnsi"/>
          <w:sz w:val="22"/>
        </w:rPr>
        <w:t>),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  <w:r w:rsidRPr="002C6AEA">
        <w:rPr>
          <w:rFonts w:asciiTheme="minorHAnsi" w:eastAsiaTheme="minorHAnsi" w:hAnsiTheme="minorHAnsi" w:cstheme="minorHAnsi"/>
          <w:sz w:val="22"/>
        </w:rPr>
        <w:t>okrem iného aj dodržiavaním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protikorupčných opatrení. </w:t>
      </w:r>
      <w:r w:rsidRPr="002C6AEA">
        <w:rPr>
          <w:rFonts w:asciiTheme="minorHAnsi" w:eastAsiaTheme="minorHAnsi" w:hAnsiTheme="minorHAnsi" w:cstheme="minorHAnsi"/>
          <w:sz w:val="22"/>
        </w:rPr>
        <w:t xml:space="preserve">Cieľom efektívnych pravidiel pre riadenie konfliktu záujmov je zabezpečiť nestrannosť a plnenie verejnej funkcie, a z nej vyplývajúcich povinností a pracovných úloh, ktoré nie sú ovplyvnené zreteľom na vlastný prospech.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</w:p>
    <w:p w14:paraId="0795EA87" w14:textId="77777777" w:rsidR="002C6AEA" w:rsidRPr="002C6AEA" w:rsidRDefault="002C6AEA" w:rsidP="007166A4">
      <w:pPr>
        <w:pStyle w:val="Odsekzoznamu"/>
        <w:spacing w:before="120" w:after="120"/>
        <w:ind w:left="1134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Konflikt záujmov</w:t>
      </w:r>
      <w:r w:rsidRPr="002C6AEA">
        <w:rPr>
          <w:rFonts w:asciiTheme="minorHAnsi" w:eastAsiaTheme="minorHAnsi" w:hAnsiTheme="minorHAnsi" w:cstheme="minorHAnsi"/>
          <w:sz w:val="22"/>
        </w:rPr>
        <w:t xml:space="preserve"> -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môže vzniknúť kedykoľvek, a niekedy sa mu nedá vyhnúť. Konflikt záujmov nie je sám o sebe nezákonný. Nedá sa zabrániť tomu, aby sa verejní činitelia v nejakom období počas práce nestretli so situáciou, kedy čelia konfliktu záujmov, pretože majú rodiny, priateľov, mimo podnikateľské alebo pracovné aktivity, investície, majetkové záujmy a iné typy väzieb. Každá z týchto väzieb môže mať za následok konflikt záujmov, ktorý musí byť preto náležite zvládnutý. Vytvorenie pravidiel pre riadenie konfliktu záujmov napomáha zamestnancom zvládnuť konflikty záujmov.</w:t>
      </w:r>
    </w:p>
    <w:p w14:paraId="10FBFA56" w14:textId="1556D9B5" w:rsidR="002C6AEA" w:rsidRPr="002C6AEA" w:rsidRDefault="002C6AEA" w:rsidP="007166A4">
      <w:pPr>
        <w:pStyle w:val="Odsekzoznamu"/>
        <w:spacing w:before="120" w:after="120"/>
        <w:ind w:left="1134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 xml:space="preserve">Protikorupčné opatrenia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– kde cieľom je presadzovanie a ochrana verejného záujmu, zmenšovanie priestoru a príležitostí pre korupciu (napr. poskytovanie darov a pozorností, pranie špinavých peňazí, poskytovanie informácií, ochrana duševného vlastníctva a iné), zlepšenie kvality legislatívy a právneho prostredia, ako aj podpora a presadzovanie transparentnosti a angažovanosti každého jednotlivca v oblasti prevencie a boja s trestnou činnosťou korupcie.</w:t>
      </w:r>
    </w:p>
    <w:p w14:paraId="2DBF7F0C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2679C5FA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Zásada transparentnosti – </w:t>
      </w:r>
      <w:r w:rsidRPr="002C6AEA">
        <w:rPr>
          <w:rFonts w:asciiTheme="minorHAnsi" w:eastAsiaTheme="minorHAnsi" w:hAnsiTheme="minorHAnsi" w:cstheme="minorHAnsi"/>
          <w:sz w:val="22"/>
        </w:rPr>
        <w:t xml:space="preserve">v rámci tejto zásady dotknuté osoby konajú a rozhodujú transparentne, pričom svoje rozhodnutia dokážu náležite odôvodniť. Dotknuté osoby </w:t>
      </w:r>
      <w:r w:rsidRPr="002C6AEA">
        <w:rPr>
          <w:rFonts w:asciiTheme="minorHAnsi" w:eastAsiaTheme="minorHAnsi" w:hAnsiTheme="minorHAnsi" w:cstheme="minorHAnsi"/>
          <w:sz w:val="22"/>
        </w:rPr>
        <w:lastRenderedPageBreak/>
        <w:t xml:space="preserve">v rámci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zásad transparentnosti</w:t>
      </w:r>
      <w:r w:rsidRPr="002C6AEA">
        <w:rPr>
          <w:rFonts w:asciiTheme="minorHAnsi" w:eastAsiaTheme="minorHAnsi" w:hAnsiTheme="minorHAnsi" w:cstheme="minorHAnsi"/>
          <w:sz w:val="22"/>
        </w:rPr>
        <w:t xml:space="preserve"> nezadržiavajú pred verejnosťou informácie, okrem prípadov, kedy informácie nie je možné zverejniť zo zákonných dôvodov.</w:t>
      </w:r>
    </w:p>
    <w:p w14:paraId="0B37639F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Zásada zodpovednosti za svoje konanie a rozhodovanie –</w:t>
      </w:r>
      <w:r w:rsidRPr="002C6AEA">
        <w:rPr>
          <w:rFonts w:asciiTheme="minorHAnsi" w:eastAsiaTheme="minorHAnsi" w:hAnsiTheme="minorHAnsi" w:cstheme="minorHAnsi"/>
          <w:sz w:val="22"/>
        </w:rPr>
        <w:t xml:space="preserve"> v tomto smere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preberajú zodpovednosť za svoje činy, rozhodnutia ako aj konania v rozsahu svojej právomoci. Rovnako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dotknutá osoba</w:t>
      </w:r>
      <w:r w:rsidRPr="002C6AEA">
        <w:rPr>
          <w:rFonts w:asciiTheme="minorHAnsi" w:eastAsiaTheme="minorHAnsi" w:hAnsiTheme="minorHAnsi" w:cstheme="minorHAnsi"/>
          <w:sz w:val="22"/>
        </w:rPr>
        <w:t xml:space="preserve"> vykonáva primeranú kontrolu a dohľad nad záležitosťami, za ktoré je zodpovedná.</w:t>
      </w:r>
    </w:p>
    <w:p w14:paraId="7490E977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Zásada objektívnosti a spravodlivosti – </w:t>
      </w:r>
      <w:r w:rsidRPr="002C6AEA">
        <w:rPr>
          <w:rFonts w:asciiTheme="minorHAnsi" w:eastAsiaTheme="minorHAnsi" w:hAnsiTheme="minorHAnsi" w:cstheme="minorHAnsi"/>
          <w:sz w:val="22"/>
        </w:rPr>
        <w:t xml:space="preserve">v rámci tejto zásady musia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konať nezávisle a nestranne, musia vedieť prijímať rozhodnutia spravodlivo a na základe objektívnych poznatkov a pri rozhodovaní sa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musia zdržať akejkoľvek diskriminácie alebo zaujatosti.</w:t>
      </w:r>
    </w:p>
    <w:p w14:paraId="6033D7A8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Zásada slušnosti a inklúzie</w:t>
      </w:r>
      <w:r w:rsidRPr="002C6AEA">
        <w:rPr>
          <w:rFonts w:asciiTheme="minorHAnsi" w:eastAsiaTheme="minorHAnsi" w:hAnsiTheme="minorHAnsi" w:cstheme="minorHAnsi"/>
          <w:sz w:val="22"/>
        </w:rPr>
        <w:t xml:space="preserve"> – v tomto smere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prejavujú úctu voči ľuďom, kde zakazujú šikanovať, prenasledovať alebo diskriminovať iné osoby bez ohľadu na ich postavenie a príslušnosť. Na základe tejto zásady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komunikujú zdvorilo a s rešpektom, nežiadajú ani nepodporujú zamestnancov, aby konali v rozpore s pravidlami etického kódexu.</w:t>
      </w:r>
    </w:p>
    <w:p w14:paraId="58CF05F4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Zásada čestnosti a poctivosti</w:t>
      </w:r>
      <w:r w:rsidRPr="002C6AEA">
        <w:rPr>
          <w:rFonts w:asciiTheme="minorHAnsi" w:eastAsiaTheme="minorHAnsi" w:hAnsiTheme="minorHAnsi" w:cstheme="minorHAnsi"/>
          <w:sz w:val="22"/>
        </w:rPr>
        <w:t xml:space="preserve"> –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si ich ctia a konajú tak, aby nevznikli dôvodné pochybnosti o tom, že tieto zásady nedodržiavajú. Zásada teda kladie veľký dôraz na schopnosť priznať si chybu, vyvodiť z nej dôsledky a poučiť sa do budúcnosti, a byť tak príkladom pre iných.</w:t>
      </w:r>
    </w:p>
    <w:p w14:paraId="1E276E11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Zásada </w:t>
      </w:r>
      <w:proofErr w:type="spellStart"/>
      <w:r w:rsidRPr="002C6AEA">
        <w:rPr>
          <w:rFonts w:asciiTheme="minorHAnsi" w:eastAsiaTheme="minorHAnsi" w:hAnsiTheme="minorHAnsi" w:cstheme="minorHAnsi"/>
          <w:i/>
          <w:iCs/>
          <w:sz w:val="22"/>
        </w:rPr>
        <w:t>líderstva</w:t>
      </w:r>
      <w:proofErr w:type="spellEnd"/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– </w:t>
      </w:r>
      <w:r w:rsidRPr="002C6AEA">
        <w:rPr>
          <w:rFonts w:asciiTheme="minorHAnsi" w:eastAsiaTheme="minorHAnsi" w:hAnsiTheme="minorHAnsi" w:cstheme="minorHAnsi"/>
          <w:sz w:val="22"/>
        </w:rPr>
        <w:t xml:space="preserve">v tomto smere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aktívne podporujú a presadzujú tieto zásady, upozorňujú na jednotlivé ich porušenia a snažia sa viesť svojim príkladom aj ostatných. Týmto správaním tak podporujú dôveru verejnosti voči orgánom verejnej moci.</w:t>
      </w:r>
    </w:p>
    <w:p w14:paraId="69B6325A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0DB69F09" w14:textId="639DCE76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Zásady integrity</w:t>
      </w:r>
      <w:r w:rsidRPr="002C6AEA">
        <w:rPr>
          <w:rFonts w:asciiTheme="minorHAnsi" w:eastAsiaTheme="minorHAnsi" w:hAnsiTheme="minorHAnsi" w:cstheme="minorHAnsi"/>
          <w:sz w:val="22"/>
        </w:rPr>
        <w:t xml:space="preserve"> predstavujú hodnotové maximá pre správanie sa, kde môžu nastať situácie, že zásady môžu byť vo vzájomnom rozpore, resp. sa môžu navzájom vyvažovať. V takomto prípade je ich potrebné aplikovať pravidelne, podobne ako pri ústavných právach.</w:t>
      </w:r>
    </w:p>
    <w:p w14:paraId="4DD8F9A8" w14:textId="427407DF" w:rsidR="00585533" w:rsidRDefault="00585533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785EC49C" w14:textId="66A98344" w:rsid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741A6DDA" w14:textId="71588ACA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064CDC4" w14:textId="7636BDF4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2D222D1B" w14:textId="77777777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18ADC84" w14:textId="77777777" w:rsidR="006558F4" w:rsidRPr="006558F4" w:rsidRDefault="006558F4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6558F4">
        <w:rPr>
          <w:rFonts w:asciiTheme="minorHAnsi" w:hAnsiTheme="minorHAnsi" w:cstheme="minorHAnsi"/>
          <w:b/>
        </w:rPr>
        <w:t>Článok 2</w:t>
      </w:r>
    </w:p>
    <w:p w14:paraId="073A8302" w14:textId="234E7E42" w:rsidR="006558F4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Ostatné časti </w:t>
      </w:r>
      <w:r w:rsidR="00005383" w:rsidRPr="00005383">
        <w:rPr>
          <w:rFonts w:asciiTheme="minorHAnsi" w:hAnsiTheme="minorHAnsi" w:cstheme="minorHAnsi"/>
          <w:bCs/>
          <w:sz w:val="22"/>
        </w:rPr>
        <w:t xml:space="preserve">Príručky pre žiadateľa </w:t>
      </w:r>
      <w:r w:rsidR="00005383" w:rsidRPr="00A811D4">
        <w:rPr>
          <w:rFonts w:asciiTheme="minorHAnsi" w:hAnsiTheme="minorHAnsi" w:cstheme="minorHAnsi"/>
          <w:bCs/>
          <w:sz w:val="22"/>
        </w:rPr>
        <w:t>o poskytnutie nenávratného finančného príspevku</w:t>
      </w:r>
      <w:r w:rsidR="00005383" w:rsidRPr="00005383">
        <w:rPr>
          <w:rFonts w:asciiTheme="minorHAnsi" w:hAnsiTheme="minorHAnsi" w:cstheme="minorHAnsi"/>
          <w:bCs/>
          <w:sz w:val="22"/>
        </w:rPr>
        <w:t xml:space="preserve"> </w:t>
      </w:r>
      <w:r w:rsidR="00005383" w:rsidRPr="00A811D4">
        <w:rPr>
          <w:rFonts w:asciiTheme="minorHAnsi" w:hAnsiTheme="minorHAnsi" w:cstheme="minorHAnsi"/>
          <w:bCs/>
          <w:sz w:val="22"/>
        </w:rPr>
        <w:t>z Programu rozvoja vidieka SR 2014 – 2022</w:t>
      </w:r>
      <w:r w:rsidR="00005383" w:rsidRPr="00005383">
        <w:rPr>
          <w:rFonts w:asciiTheme="minorHAnsi" w:hAnsiTheme="minorHAnsi" w:cstheme="minorHAnsi"/>
          <w:bCs/>
          <w:sz w:val="22"/>
        </w:rPr>
        <w:t>, verzia 07</w:t>
      </w:r>
      <w:r w:rsidR="006757CA">
        <w:rPr>
          <w:rFonts w:asciiTheme="minorHAnsi" w:hAnsiTheme="minorHAnsi" w:cstheme="minorHAnsi"/>
          <w:sz w:val="22"/>
        </w:rPr>
        <w:t xml:space="preserve"> </w:t>
      </w:r>
      <w:r w:rsidRPr="006558F4">
        <w:rPr>
          <w:rFonts w:asciiTheme="minorHAnsi" w:hAnsiTheme="minorHAnsi" w:cstheme="minorHAnsi"/>
          <w:sz w:val="22"/>
        </w:rPr>
        <w:t>zostávajú nezmenené.</w:t>
      </w:r>
    </w:p>
    <w:p w14:paraId="6AC0890A" w14:textId="77777777" w:rsidR="006558F4" w:rsidRPr="003350BF" w:rsidRDefault="006558F4" w:rsidP="006558F4">
      <w:pPr>
        <w:jc w:val="both"/>
        <w:rPr>
          <w:highlight w:val="yellow"/>
        </w:rPr>
      </w:pPr>
    </w:p>
    <w:p w14:paraId="77563001" w14:textId="77777777" w:rsidR="006558F4" w:rsidRPr="006558F4" w:rsidRDefault="006558F4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6558F4">
        <w:rPr>
          <w:rFonts w:asciiTheme="minorHAnsi" w:hAnsiTheme="minorHAnsi" w:cstheme="minorHAnsi"/>
          <w:b/>
        </w:rPr>
        <w:t xml:space="preserve">Článok </w:t>
      </w:r>
      <w:r>
        <w:rPr>
          <w:rFonts w:asciiTheme="minorHAnsi" w:hAnsiTheme="minorHAnsi" w:cstheme="minorHAnsi"/>
          <w:b/>
        </w:rPr>
        <w:t>3</w:t>
      </w:r>
    </w:p>
    <w:p w14:paraId="407C7B5E" w14:textId="2CDF4AE7" w:rsidR="006558F4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Tento dodatok je záväzný v celom rozsahu pre projekty financované z Programu rozvoja vidieka SR 2014 – 2022 a nadobúda účinnosť dňom </w:t>
      </w:r>
      <w:r w:rsidR="002C6AEA">
        <w:rPr>
          <w:rFonts w:asciiTheme="minorHAnsi" w:hAnsiTheme="minorHAnsi" w:cstheme="minorHAnsi"/>
          <w:sz w:val="22"/>
        </w:rPr>
        <w:t>2</w:t>
      </w:r>
      <w:r w:rsidR="00005383">
        <w:rPr>
          <w:rFonts w:asciiTheme="minorHAnsi" w:hAnsiTheme="minorHAnsi" w:cstheme="minorHAnsi"/>
          <w:sz w:val="22"/>
        </w:rPr>
        <w:t>4</w:t>
      </w:r>
      <w:r w:rsidRPr="006558F4">
        <w:rPr>
          <w:rFonts w:asciiTheme="minorHAnsi" w:hAnsiTheme="minorHAnsi" w:cstheme="minorHAnsi"/>
          <w:sz w:val="22"/>
        </w:rPr>
        <w:t>.</w:t>
      </w:r>
      <w:r w:rsidR="002C6AEA">
        <w:rPr>
          <w:rFonts w:asciiTheme="minorHAnsi" w:hAnsiTheme="minorHAnsi" w:cstheme="minorHAnsi"/>
          <w:sz w:val="22"/>
        </w:rPr>
        <w:t>07</w:t>
      </w:r>
      <w:r w:rsidRPr="006558F4">
        <w:rPr>
          <w:rFonts w:asciiTheme="minorHAnsi" w:hAnsiTheme="minorHAnsi" w:cstheme="minorHAnsi"/>
          <w:sz w:val="22"/>
        </w:rPr>
        <w:t>.202</w:t>
      </w:r>
      <w:r w:rsidR="002C6AEA">
        <w:rPr>
          <w:rFonts w:asciiTheme="minorHAnsi" w:hAnsiTheme="minorHAnsi" w:cstheme="minorHAnsi"/>
          <w:sz w:val="22"/>
        </w:rPr>
        <w:t>4</w:t>
      </w:r>
      <w:r w:rsidRPr="006558F4">
        <w:rPr>
          <w:rFonts w:asciiTheme="minorHAnsi" w:hAnsiTheme="minorHAnsi" w:cstheme="minorHAnsi"/>
          <w:sz w:val="22"/>
        </w:rPr>
        <w:t>.</w:t>
      </w:r>
    </w:p>
    <w:p w14:paraId="0295994C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026AB69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8F48F49" w14:textId="353AEBE4" w:rsidR="00502C50" w:rsidRDefault="00502C50" w:rsidP="009D7D66">
      <w:pPr>
        <w:jc w:val="center"/>
      </w:pPr>
    </w:p>
    <w:p w14:paraId="3078537C" w14:textId="77777777" w:rsidR="00991557" w:rsidRPr="00991557" w:rsidRDefault="00991557" w:rsidP="009D7D66">
      <w:pPr>
        <w:jc w:val="center"/>
        <w:rPr>
          <w:b/>
          <w:bCs/>
        </w:rPr>
      </w:pPr>
    </w:p>
    <w:sectPr w:rsidR="00991557" w:rsidRPr="00991557" w:rsidSect="006558F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CD0B49" w14:textId="77777777" w:rsidR="00475C72" w:rsidRDefault="00475C72" w:rsidP="009D7D66">
      <w:r>
        <w:separator/>
      </w:r>
    </w:p>
  </w:endnote>
  <w:endnote w:type="continuationSeparator" w:id="0">
    <w:p w14:paraId="3D924C2E" w14:textId="77777777" w:rsidR="00475C72" w:rsidRDefault="00475C72" w:rsidP="009D7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2386443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73ADBA82" w14:textId="77777777" w:rsidR="006558F4" w:rsidRPr="006558F4" w:rsidRDefault="006558F4">
        <w:pPr>
          <w:pStyle w:val="Pta"/>
          <w:jc w:val="center"/>
          <w:rPr>
            <w:rFonts w:asciiTheme="minorHAnsi" w:hAnsiTheme="minorHAnsi" w:cstheme="minorHAnsi"/>
            <w:sz w:val="20"/>
            <w:szCs w:val="20"/>
          </w:rPr>
        </w:pPr>
        <w:r w:rsidRPr="006558F4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6558F4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6558F4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502C50">
          <w:rPr>
            <w:rFonts w:asciiTheme="minorHAnsi" w:hAnsiTheme="minorHAnsi" w:cstheme="minorHAnsi"/>
            <w:noProof/>
            <w:sz w:val="20"/>
            <w:szCs w:val="20"/>
          </w:rPr>
          <w:t>3</w:t>
        </w:r>
        <w:r w:rsidRPr="006558F4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6AD9008A" w14:textId="77777777" w:rsidR="006558F4" w:rsidRDefault="006558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B540F8" w14:textId="77777777" w:rsidR="00475C72" w:rsidRDefault="00475C72" w:rsidP="009D7D66">
      <w:r>
        <w:separator/>
      </w:r>
    </w:p>
  </w:footnote>
  <w:footnote w:type="continuationSeparator" w:id="0">
    <w:p w14:paraId="33D04B58" w14:textId="77777777" w:rsidR="00475C72" w:rsidRDefault="00475C72" w:rsidP="009D7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479D1" w14:textId="77777777" w:rsidR="00A811D4" w:rsidRPr="00A811D4" w:rsidRDefault="00A811D4" w:rsidP="00A811D4">
    <w:pPr>
      <w:pStyle w:val="Hlavika"/>
      <w:rPr>
        <w:rFonts w:asciiTheme="minorHAnsi" w:hAnsiTheme="minorHAnsi" w:cstheme="minorHAnsi"/>
        <w:b/>
        <w:i/>
        <w:sz w:val="20"/>
      </w:rPr>
    </w:pPr>
    <w:r w:rsidRPr="00A811D4">
      <w:rPr>
        <w:rFonts w:asciiTheme="minorHAnsi" w:hAnsiTheme="minorHAnsi" w:cstheme="minorHAnsi"/>
        <w:b/>
        <w:i/>
        <w:sz w:val="20"/>
      </w:rPr>
      <w:t>Dodatok č. 1 k Príručke pre žiadateľa o poskytnutie nenávratného finančného príspevku z Programu rozvoja vidieka SR 2014 – 2022</w:t>
    </w:r>
  </w:p>
  <w:p w14:paraId="0AAA7132" w14:textId="77777777" w:rsidR="009D7D66" w:rsidRDefault="009D7D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7C313" w14:textId="0301E5A7" w:rsidR="00A811D4" w:rsidRPr="00A811D4" w:rsidRDefault="004D26D5" w:rsidP="00A811D4">
    <w:pPr>
      <w:pStyle w:val="Hlavika"/>
      <w:rPr>
        <w:rFonts w:asciiTheme="minorHAnsi" w:hAnsiTheme="minorHAnsi" w:cstheme="minorHAnsi"/>
        <w:b/>
        <w:i/>
        <w:sz w:val="20"/>
        <w:szCs w:val="20"/>
      </w:rPr>
    </w:pPr>
    <w:r w:rsidRPr="004D26D5">
      <w:rPr>
        <w:rFonts w:asciiTheme="minorHAnsi" w:hAnsiTheme="minorHAnsi" w:cstheme="minorHAnsi"/>
        <w:b/>
        <w:i/>
        <w:sz w:val="20"/>
        <w:szCs w:val="20"/>
      </w:rPr>
      <w:t xml:space="preserve">Dodatok č. </w:t>
    </w:r>
    <w:r w:rsidR="00A811D4">
      <w:rPr>
        <w:rFonts w:asciiTheme="minorHAnsi" w:hAnsiTheme="minorHAnsi" w:cstheme="minorHAnsi"/>
        <w:b/>
        <w:i/>
        <w:sz w:val="20"/>
        <w:szCs w:val="20"/>
      </w:rPr>
      <w:t>1</w:t>
    </w:r>
    <w:r w:rsidRPr="004D26D5">
      <w:rPr>
        <w:rFonts w:asciiTheme="minorHAnsi" w:hAnsiTheme="minorHAnsi" w:cstheme="minorHAnsi"/>
        <w:b/>
        <w:i/>
        <w:sz w:val="20"/>
        <w:szCs w:val="20"/>
      </w:rPr>
      <w:t xml:space="preserve"> k </w:t>
    </w:r>
    <w:r w:rsidR="00A811D4" w:rsidRPr="00A811D4">
      <w:rPr>
        <w:rFonts w:asciiTheme="minorHAnsi" w:hAnsiTheme="minorHAnsi" w:cstheme="minorHAnsi"/>
        <w:b/>
        <w:i/>
        <w:sz w:val="20"/>
        <w:szCs w:val="20"/>
      </w:rPr>
      <w:t>Príručk</w:t>
    </w:r>
    <w:r w:rsidR="00A811D4">
      <w:rPr>
        <w:rFonts w:asciiTheme="minorHAnsi" w:hAnsiTheme="minorHAnsi" w:cstheme="minorHAnsi"/>
        <w:b/>
        <w:i/>
        <w:sz w:val="20"/>
        <w:szCs w:val="20"/>
      </w:rPr>
      <w:t>e</w:t>
    </w:r>
    <w:r w:rsidR="00A811D4" w:rsidRPr="00A811D4">
      <w:rPr>
        <w:rFonts w:asciiTheme="minorHAnsi" w:hAnsiTheme="minorHAnsi" w:cstheme="minorHAnsi"/>
        <w:b/>
        <w:i/>
        <w:sz w:val="20"/>
        <w:szCs w:val="20"/>
      </w:rPr>
      <w:t xml:space="preserve"> pre žiadateľa</w:t>
    </w:r>
    <w:r w:rsidR="00A811D4">
      <w:rPr>
        <w:rFonts w:asciiTheme="minorHAnsi" w:hAnsiTheme="minorHAnsi" w:cstheme="minorHAnsi"/>
        <w:b/>
        <w:i/>
        <w:sz w:val="20"/>
        <w:szCs w:val="20"/>
      </w:rPr>
      <w:t xml:space="preserve"> </w:t>
    </w:r>
    <w:r w:rsidR="00A811D4" w:rsidRPr="00A811D4">
      <w:rPr>
        <w:rFonts w:asciiTheme="minorHAnsi" w:hAnsiTheme="minorHAnsi" w:cstheme="minorHAnsi"/>
        <w:b/>
        <w:i/>
        <w:sz w:val="20"/>
        <w:szCs w:val="20"/>
      </w:rPr>
      <w:t>o poskytnutie nenávratného finančného príspevku</w:t>
    </w:r>
    <w:r w:rsidR="00A811D4">
      <w:rPr>
        <w:rFonts w:asciiTheme="minorHAnsi" w:hAnsiTheme="minorHAnsi" w:cstheme="minorHAnsi"/>
        <w:b/>
        <w:i/>
        <w:sz w:val="20"/>
        <w:szCs w:val="20"/>
      </w:rPr>
      <w:t xml:space="preserve"> </w:t>
    </w:r>
    <w:r w:rsidR="00A811D4" w:rsidRPr="00A811D4">
      <w:rPr>
        <w:rFonts w:asciiTheme="minorHAnsi" w:hAnsiTheme="minorHAnsi" w:cstheme="minorHAnsi"/>
        <w:b/>
        <w:i/>
        <w:sz w:val="20"/>
        <w:szCs w:val="20"/>
      </w:rPr>
      <w:t>z Programu rozvoja vidieka SR 2014 – 2022</w:t>
    </w:r>
  </w:p>
  <w:p w14:paraId="0CF008FF" w14:textId="4D33A996" w:rsidR="006558F4" w:rsidRPr="004D26D5" w:rsidRDefault="006558F4">
    <w:pPr>
      <w:pStyle w:val="Hlavika"/>
      <w:rPr>
        <w:rFonts w:asciiTheme="minorHAnsi" w:hAnsiTheme="minorHAnsi" w:cstheme="min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A644A"/>
    <w:multiLevelType w:val="multilevel"/>
    <w:tmpl w:val="A2FC33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2BC7835"/>
    <w:multiLevelType w:val="hybridMultilevel"/>
    <w:tmpl w:val="34DC5DAC"/>
    <w:lvl w:ilvl="0" w:tplc="27A418B0">
      <w:start w:val="1"/>
      <w:numFmt w:val="decimal"/>
      <w:lvlText w:val="%1)"/>
      <w:lvlJc w:val="left"/>
      <w:pPr>
        <w:ind w:left="644" w:hanging="360"/>
      </w:pPr>
      <w:rPr>
        <w:i w:val="0"/>
        <w:iCs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F8140CC"/>
    <w:multiLevelType w:val="hybridMultilevel"/>
    <w:tmpl w:val="CC185D76"/>
    <w:lvl w:ilvl="0" w:tplc="D0A86C20">
      <w:start w:val="1"/>
      <w:numFmt w:val="decimal"/>
      <w:pStyle w:val="nadpis1111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9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8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4" w:hanging="180"/>
      </w:pPr>
      <w:rPr>
        <w:rFonts w:cs="Times New Roman"/>
      </w:rPr>
    </w:lvl>
  </w:abstractNum>
  <w:abstractNum w:abstractNumId="3" w15:restartNumberingAfterBreak="0">
    <w:nsid w:val="32256C8F"/>
    <w:multiLevelType w:val="hybridMultilevel"/>
    <w:tmpl w:val="F30CB0E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D5D6BB3"/>
    <w:multiLevelType w:val="hybridMultilevel"/>
    <w:tmpl w:val="2F8C5E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E86D6F"/>
    <w:multiLevelType w:val="hybridMultilevel"/>
    <w:tmpl w:val="CF6E3CC4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0B">
      <w:start w:val="1"/>
      <w:numFmt w:val="bullet"/>
      <w:lvlText w:val=""/>
      <w:lvlJc w:val="left"/>
      <w:pPr>
        <w:ind w:left="107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AF060E8"/>
    <w:multiLevelType w:val="hybridMultilevel"/>
    <w:tmpl w:val="87E293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2B3065"/>
    <w:multiLevelType w:val="hybridMultilevel"/>
    <w:tmpl w:val="85A22D6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F61963"/>
    <w:multiLevelType w:val="hybridMultilevel"/>
    <w:tmpl w:val="5F2C9F02"/>
    <w:lvl w:ilvl="0" w:tplc="9B42DF3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7A408764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66"/>
    <w:rsid w:val="00005383"/>
    <w:rsid w:val="000D6EFD"/>
    <w:rsid w:val="00141D95"/>
    <w:rsid w:val="0019157F"/>
    <w:rsid w:val="002A5A8A"/>
    <w:rsid w:val="002C6AEA"/>
    <w:rsid w:val="00354F96"/>
    <w:rsid w:val="003B0F87"/>
    <w:rsid w:val="00407BF5"/>
    <w:rsid w:val="00475C72"/>
    <w:rsid w:val="004C2803"/>
    <w:rsid w:val="004D26D5"/>
    <w:rsid w:val="004E55AD"/>
    <w:rsid w:val="00502C50"/>
    <w:rsid w:val="0051259E"/>
    <w:rsid w:val="00585533"/>
    <w:rsid w:val="005B413B"/>
    <w:rsid w:val="005D4273"/>
    <w:rsid w:val="005F51E4"/>
    <w:rsid w:val="006558F4"/>
    <w:rsid w:val="006757CA"/>
    <w:rsid w:val="006A085D"/>
    <w:rsid w:val="006B575C"/>
    <w:rsid w:val="006E093B"/>
    <w:rsid w:val="007166A4"/>
    <w:rsid w:val="007A002D"/>
    <w:rsid w:val="008A6761"/>
    <w:rsid w:val="00915EFD"/>
    <w:rsid w:val="00991557"/>
    <w:rsid w:val="009A034D"/>
    <w:rsid w:val="009D7D66"/>
    <w:rsid w:val="00A225DE"/>
    <w:rsid w:val="00A811D4"/>
    <w:rsid w:val="00AC19BD"/>
    <w:rsid w:val="00C77E21"/>
    <w:rsid w:val="00D74DB7"/>
    <w:rsid w:val="00DF4BAC"/>
    <w:rsid w:val="00EB6A77"/>
    <w:rsid w:val="00EC346B"/>
    <w:rsid w:val="00F71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55EA9"/>
  <w15:chartTrackingRefBased/>
  <w15:docId w15:val="{1F9F860C-6DA2-44B2-818A-65898822C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7D6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8A676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D7D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qFormat/>
    <w:rsid w:val="009D7D66"/>
  </w:style>
  <w:style w:type="paragraph" w:styleId="Pta">
    <w:name w:val="footer"/>
    <w:basedOn w:val="Normlny"/>
    <w:link w:val="PtaChar"/>
    <w:uiPriority w:val="99"/>
    <w:unhideWhenUsed/>
    <w:rsid w:val="009D7D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D7D66"/>
  </w:style>
  <w:style w:type="character" w:styleId="Hypertextovprepojenie">
    <w:name w:val="Hyperlink"/>
    <w:basedOn w:val="Predvolenpsmoodseku"/>
    <w:uiPriority w:val="99"/>
    <w:unhideWhenUsed/>
    <w:rsid w:val="006558F4"/>
    <w:rPr>
      <w:rFonts w:cs="Times New Roman"/>
      <w:color w:val="0000FF"/>
      <w:u w:val="single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,Odsek zoznamu21,Odstavec_muj,Nad,Odstavec cíl se seznamem,Odstavec se seznamem5,Nad1,Odsek"/>
    <w:basedOn w:val="Normlny"/>
    <w:link w:val="OdsekzoznamuChar"/>
    <w:uiPriority w:val="34"/>
    <w:qFormat/>
    <w:rsid w:val="006558F4"/>
    <w:pPr>
      <w:suppressAutoHyphens w:val="0"/>
      <w:spacing w:after="200"/>
      <w:ind w:left="720"/>
      <w:contextualSpacing/>
    </w:pPr>
    <w:rPr>
      <w:szCs w:val="22"/>
      <w:lang w:eastAsia="en-US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,Odsek zoznamu21 Char,Odstavec_muj Char,Nad Char,Nad1 Char"/>
    <w:link w:val="Odsekzoznamu"/>
    <w:uiPriority w:val="34"/>
    <w:qFormat/>
    <w:locked/>
    <w:rsid w:val="006558F4"/>
    <w:rPr>
      <w:rFonts w:ascii="Times New Roman" w:eastAsia="Times New Roman" w:hAnsi="Times New Roman" w:cs="Times New Roman"/>
      <w:sz w:val="24"/>
    </w:rPr>
  </w:style>
  <w:style w:type="paragraph" w:styleId="Textpoznmkypodiarou">
    <w:name w:val="footnote text"/>
    <w:aliases w:val="Text poznámky pod čiarou 007,Schriftart: 9 pt,Schriftart: 10 pt,Schriftart: 8 pt,_Poznámka pod čiarou,Stinking Styles2,Tekst przypisu- dokt,Char Char Char,Char Char Char Char Char Char Char Char Char,Char Char Ch,o,Car,Char4"/>
    <w:basedOn w:val="Normlny"/>
    <w:link w:val="TextpoznmkypodiarouChar"/>
    <w:uiPriority w:val="99"/>
    <w:unhideWhenUsed/>
    <w:qFormat/>
    <w:rsid w:val="006558F4"/>
    <w:pPr>
      <w:suppressAutoHyphens w:val="0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Schriftart: 9 pt Char,Schriftart: 10 pt Char,Schriftart: 8 pt Char,_Poznámka pod čiarou Char,Stinking Styles2 Char,Tekst przypisu- dokt Char,Char Char Char Char,Char Char Ch Char,o Char"/>
    <w:basedOn w:val="Predvolenpsmoodseku"/>
    <w:link w:val="Textpoznmkypodiarou"/>
    <w:uiPriority w:val="99"/>
    <w:qFormat/>
    <w:rsid w:val="006558F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basedOn w:val="Predvolenpsmoodseku"/>
    <w:link w:val="Char2"/>
    <w:uiPriority w:val="99"/>
    <w:unhideWhenUsed/>
    <w:qFormat/>
    <w:rsid w:val="006558F4"/>
    <w:rPr>
      <w:rFonts w:ascii="Times New Roman" w:hAnsi="Times New Roman" w:cs="Times New Roman"/>
      <w:vertAlign w:val="superscript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6558F4"/>
    <w:pPr>
      <w:suppressAutoHyphens w:val="0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6558F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Odkaznakomentr">
    <w:name w:val="annotation reference"/>
    <w:uiPriority w:val="99"/>
    <w:unhideWhenUsed/>
    <w:qFormat/>
    <w:rsid w:val="006558F4"/>
    <w:rPr>
      <w:sz w:val="16"/>
      <w:szCs w:val="16"/>
    </w:rPr>
  </w:style>
  <w:style w:type="paragraph" w:customStyle="1" w:styleId="Char2">
    <w:name w:val="Char2"/>
    <w:basedOn w:val="Normlny"/>
    <w:link w:val="Odkaznapoznmkupodiarou"/>
    <w:uiPriority w:val="99"/>
    <w:qFormat/>
    <w:rsid w:val="006558F4"/>
    <w:pPr>
      <w:suppressAutoHyphens w:val="0"/>
      <w:spacing w:after="160" w:line="240" w:lineRule="exact"/>
    </w:pPr>
    <w:rPr>
      <w:rFonts w:eastAsiaTheme="minorHAnsi"/>
      <w:sz w:val="22"/>
      <w:szCs w:val="22"/>
      <w:vertAlign w:val="superscript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58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8F4"/>
    <w:rPr>
      <w:rFonts w:ascii="Segoe UI" w:eastAsia="Times New Roman" w:hAnsi="Segoe UI" w:cs="Segoe UI"/>
      <w:sz w:val="18"/>
      <w:szCs w:val="18"/>
      <w:lang w:eastAsia="ar-SA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558F4"/>
    <w:rPr>
      <w:color w:val="954F72" w:themeColor="followedHyperlink"/>
      <w:u w:val="single"/>
    </w:rPr>
  </w:style>
  <w:style w:type="paragraph" w:customStyle="1" w:styleId="nadpis1111">
    <w:name w:val="nadpis1111"/>
    <w:basedOn w:val="Nadpis1"/>
    <w:next w:val="Normlny"/>
    <w:link w:val="nadpis1111Char"/>
    <w:qFormat/>
    <w:rsid w:val="008A6761"/>
    <w:pPr>
      <w:keepLines w:val="0"/>
      <w:numPr>
        <w:numId w:val="5"/>
      </w:numPr>
      <w:shd w:val="clear" w:color="auto" w:fill="BFBFBF" w:themeFill="background1" w:themeFillShade="BF"/>
      <w:suppressAutoHyphens w:val="0"/>
      <w:spacing w:before="0" w:after="240"/>
    </w:pPr>
    <w:rPr>
      <w:rFonts w:ascii="Times New Roman" w:eastAsia="Times New Roman" w:hAnsi="Times New Roman" w:cs="Times New Roman"/>
      <w:b/>
      <w:bCs/>
      <w:caps/>
      <w:color w:val="auto"/>
      <w:sz w:val="24"/>
      <w:szCs w:val="28"/>
      <w:lang w:eastAsia="sk-SK"/>
    </w:rPr>
  </w:style>
  <w:style w:type="character" w:customStyle="1" w:styleId="nadpis1111Char">
    <w:name w:val="nadpis1111 Char"/>
    <w:basedOn w:val="Predvolenpsmoodseku"/>
    <w:link w:val="nadpis1111"/>
    <w:rsid w:val="008A6761"/>
    <w:rPr>
      <w:rFonts w:ascii="Times New Roman" w:eastAsia="Times New Roman" w:hAnsi="Times New Roman" w:cs="Times New Roman"/>
      <w:b/>
      <w:bCs/>
      <w:caps/>
      <w:sz w:val="24"/>
      <w:szCs w:val="28"/>
      <w:shd w:val="clear" w:color="auto" w:fill="BFBFBF" w:themeFill="background1" w:themeFillShade="BF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8A676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83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7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1466</Words>
  <Characters>8360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Dodatok č. 1 k Príručke pre prijímateľa nenávratného finančného príspevku z PRV SR 2014 - 2020</vt:lpstr>
    </vt:vector>
  </TitlesOfParts>
  <Company>PPA</Company>
  <LinksUpToDate>false</LinksUpToDate>
  <CharactersWithSpaces>9807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Dodatok č. 1 k Príručke pre prijímateľa nenávratného finančného príspevku z PRV SR 2014 - 2020</dc:title>
  <dc:subject/>
  <dc:creator>Kužma Emil</dc:creator>
  <cp:keywords/>
  <dc:description/>
  <cp:lastModifiedBy>Kužma Emil</cp:lastModifiedBy>
  <cp:revision>8</cp:revision>
  <cp:lastPrinted>2024-07-23T09:58:00Z</cp:lastPrinted>
  <dcterms:created xsi:type="dcterms:W3CDTF">2024-07-23T06:25:00Z</dcterms:created>
  <dcterms:modified xsi:type="dcterms:W3CDTF">2024-07-23T09:58:00Z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2024-07-23T06:25:18Z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e277cd38-e3d8-4773-a065-89850fb8949a</vt:lpwstr>
  </property>
  <property fmtid="{D5CDD505-2E9C-101B-9397-08002B2CF9AE}" pid="8" name="MSIP_Label_71f49583-305d-4d31-a578-23419888fadf_ContentBits">
    <vt:lpwstr>0</vt:lpwstr>
  </property>
</Properties>
</file>