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0C39" w:rsidRDefault="00E05004" w:rsidP="00B87ABC">
      <w:pPr>
        <w:pStyle w:val="Pagedecouverture"/>
      </w:pPr>
      <w:bookmarkStart w:id="0" w:name="_GoBack"/>
      <w:bookmarkEnd w:id="0"/>
      <w:r>
        <w:rPr>
          <w:noProof/>
          <w:lang w:val="sk-SK" w:eastAsia="sk-SK"/>
        </w:rPr>
        <w:drawing>
          <wp:inline distT="0" distB="0" distL="0" distR="0">
            <wp:extent cx="5781675" cy="35147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81675" cy="3514725"/>
                    </a:xfrm>
                    <a:prstGeom prst="rect">
                      <a:avLst/>
                    </a:prstGeom>
                    <a:noFill/>
                    <a:ln>
                      <a:noFill/>
                    </a:ln>
                  </pic:spPr>
                </pic:pic>
              </a:graphicData>
            </a:graphic>
          </wp:inline>
        </w:drawing>
      </w:r>
    </w:p>
    <w:p w:rsidR="00E45983" w:rsidRPr="00AF0C39" w:rsidRDefault="00E45983" w:rsidP="00AF0C39">
      <w:pPr>
        <w:pStyle w:val="Pagedecouverture"/>
        <w:sectPr w:rsidR="00E45983" w:rsidRPr="00AF0C39" w:rsidSect="00ED5A9F">
          <w:footerReference w:type="default" r:id="rId8"/>
          <w:pgSz w:w="11907" w:h="16840" w:code="9"/>
          <w:pgMar w:top="1134" w:right="1418" w:bottom="1134" w:left="1418" w:header="709" w:footer="709" w:gutter="0"/>
          <w:pgNumType w:start="1"/>
          <w:cols w:space="708"/>
          <w:docGrid w:linePitch="360"/>
        </w:sectPr>
      </w:pPr>
    </w:p>
    <w:p w:rsidR="00BB4D8E" w:rsidRPr="00F62F54" w:rsidRDefault="00AF0C39" w:rsidP="00AF0C39">
      <w:pPr>
        <w:pStyle w:val="Typedudocument"/>
      </w:pPr>
      <w:r w:rsidRPr="00AF0C39">
        <w:lastRenderedPageBreak/>
        <w:t>COMMISSION IMPLEMENTING REGULATION (EU) No …/..</w:t>
      </w:r>
    </w:p>
    <w:p w:rsidR="00BB4D8E" w:rsidRPr="00F62F54" w:rsidRDefault="00B87ABC" w:rsidP="00B87ABC">
      <w:pPr>
        <w:pStyle w:val="Datedadoption"/>
      </w:pPr>
      <w:r w:rsidRPr="00B87ABC">
        <w:t>of XXX</w:t>
      </w:r>
    </w:p>
    <w:p w:rsidR="00BB4D8E" w:rsidRPr="00F62F54" w:rsidRDefault="00AF0C39" w:rsidP="00AF0C39">
      <w:pPr>
        <w:pStyle w:val="Titreobjet"/>
      </w:pPr>
      <w:r w:rsidRPr="00AF0C39">
        <w:t xml:space="preserve">laying down temporary exceptional support measures for the fruit and vegetable sector </w:t>
      </w:r>
    </w:p>
    <w:p w:rsidR="00BB4D8E" w:rsidRPr="00F62F54" w:rsidRDefault="00BB4D8E">
      <w:pPr>
        <w:pStyle w:val="Institutionquiagit"/>
      </w:pPr>
      <w:r w:rsidRPr="00F62F54">
        <w:t>THE EUROPEAN COMMISSION,</w:t>
      </w:r>
    </w:p>
    <w:p w:rsidR="00BB4D8E" w:rsidRPr="00F62F54" w:rsidRDefault="00BB4D8E">
      <w:r w:rsidRPr="00F62F54">
        <w:rPr>
          <w:color w:val="000000"/>
        </w:rPr>
        <w:t>Having regard to the Treaty on the Functioning of the European Union</w:t>
      </w:r>
      <w:r w:rsidRPr="00F62F54">
        <w:t>,</w:t>
      </w:r>
    </w:p>
    <w:p w:rsidR="008F1F65" w:rsidRPr="00F10595" w:rsidRDefault="00BB4D8E" w:rsidP="008F1F65">
      <w:pPr>
        <w:autoSpaceDE w:val="0"/>
        <w:autoSpaceDN w:val="0"/>
        <w:adjustRightInd w:val="0"/>
        <w:rPr>
          <w:color w:val="231F20"/>
        </w:rPr>
      </w:pPr>
      <w:r w:rsidRPr="00F62F54">
        <w:t xml:space="preserve">Having regard to </w:t>
      </w:r>
      <w:r w:rsidR="008F1F65" w:rsidRPr="00F10595">
        <w:rPr>
          <w:color w:val="231F20"/>
        </w:rPr>
        <w:t>Council Regulation (EC) No 1234/2007 of</w:t>
      </w:r>
      <w:r w:rsidR="008F1F65">
        <w:rPr>
          <w:color w:val="231F20"/>
        </w:rPr>
        <w:t xml:space="preserve"> </w:t>
      </w:r>
      <w:r w:rsidR="008F1F65" w:rsidRPr="00F10595">
        <w:rPr>
          <w:color w:val="231F20"/>
        </w:rPr>
        <w:t>22 October 2007</w:t>
      </w:r>
      <w:r w:rsidR="00573E58">
        <w:rPr>
          <w:color w:val="231F20"/>
        </w:rPr>
        <w:t xml:space="preserve"> </w:t>
      </w:r>
      <w:r w:rsidR="00573E58" w:rsidRPr="00573E58">
        <w:rPr>
          <w:color w:val="231F20"/>
        </w:rPr>
        <w:t>establishing a common organisation of agricultural markets and on specific provisions for certain agricultural products (Single CMO Regulation)</w:t>
      </w:r>
      <w:r w:rsidRPr="00F62F54">
        <w:rPr>
          <w:rStyle w:val="Odkaznapoznmkupodiarou"/>
        </w:rPr>
        <w:footnoteReference w:id="1"/>
      </w:r>
      <w:r w:rsidRPr="00F62F54">
        <w:t xml:space="preserve">, </w:t>
      </w:r>
      <w:r w:rsidR="008F1F65" w:rsidRPr="00F10595">
        <w:rPr>
          <w:color w:val="231F20"/>
        </w:rPr>
        <w:t>and in particular</w:t>
      </w:r>
      <w:r w:rsidR="008F1F65">
        <w:rPr>
          <w:color w:val="231F20"/>
        </w:rPr>
        <w:t xml:space="preserve"> </w:t>
      </w:r>
      <w:r w:rsidR="008F1F65" w:rsidRPr="00F10595">
        <w:rPr>
          <w:color w:val="231F20"/>
        </w:rPr>
        <w:t>Article 191 in conjunction with Article 4 thereof,</w:t>
      </w:r>
    </w:p>
    <w:p w:rsidR="00BB4D8E" w:rsidRPr="000D7982" w:rsidRDefault="00BB4D8E">
      <w:r w:rsidRPr="000D7982">
        <w:t>Whereas:</w:t>
      </w:r>
    </w:p>
    <w:p w:rsidR="00DD503D" w:rsidRPr="00DD503D" w:rsidRDefault="00B10A8B" w:rsidP="00630130">
      <w:pPr>
        <w:pStyle w:val="Considrant"/>
        <w:rPr>
          <w:lang w:eastAsia="en-GB"/>
        </w:rPr>
      </w:pPr>
      <w:r>
        <w:t>T</w:t>
      </w:r>
      <w:r w:rsidR="00573E58" w:rsidRPr="00DD503D">
        <w:t xml:space="preserve">he Union </w:t>
      </w:r>
      <w:r w:rsidR="00FA6978" w:rsidRPr="00DD503D">
        <w:t>fruit and vegetable</w:t>
      </w:r>
      <w:r w:rsidR="00A9705B" w:rsidRPr="00DD503D">
        <w:t>s</w:t>
      </w:r>
      <w:r w:rsidR="00FA6978" w:rsidRPr="00DD503D">
        <w:t xml:space="preserve"> market </w:t>
      </w:r>
      <w:r w:rsidR="00A9705B" w:rsidRPr="00DD503D">
        <w:t xml:space="preserve">is undergoing an unprecedented crisis following a deadly </w:t>
      </w:r>
      <w:r w:rsidR="00DD503D" w:rsidRPr="00DD503D">
        <w:rPr>
          <w:lang w:eastAsia="en-GB"/>
        </w:rPr>
        <w:t xml:space="preserve">enterohaemorrhagic Escherichia coli (E. coli) outbreak in Germany, which has been associated with the consumption of </w:t>
      </w:r>
      <w:r w:rsidR="00DD503D" w:rsidRPr="00DD503D">
        <w:rPr>
          <w:bCs/>
          <w:lang w:eastAsia="en-GB"/>
        </w:rPr>
        <w:t>certain</w:t>
      </w:r>
      <w:r w:rsidR="00DD503D" w:rsidRPr="00DD503D">
        <w:rPr>
          <w:lang w:eastAsia="en-GB"/>
        </w:rPr>
        <w:t xml:space="preserve"> fresh fruit and vegetables. The crisis started on 26 May 2011, when press reports appeared concerning </w:t>
      </w:r>
      <w:r w:rsidR="00DD503D" w:rsidRPr="00DD503D">
        <w:rPr>
          <w:bCs/>
          <w:lang w:eastAsia="en-GB"/>
        </w:rPr>
        <w:t xml:space="preserve">allegations of cucumbers being </w:t>
      </w:r>
      <w:r w:rsidR="00DD503D" w:rsidRPr="00DD503D">
        <w:rPr>
          <w:lang w:eastAsia="en-GB"/>
        </w:rPr>
        <w:t xml:space="preserve">the cause of the </w:t>
      </w:r>
      <w:r w:rsidR="00AF72D5" w:rsidRPr="00205724">
        <w:rPr>
          <w:lang w:eastAsia="en-GB"/>
        </w:rPr>
        <w:t>outbreak</w:t>
      </w:r>
      <w:r w:rsidR="00DD503D" w:rsidRPr="00205724">
        <w:rPr>
          <w:lang w:eastAsia="en-GB"/>
        </w:rPr>
        <w:t>.</w:t>
      </w:r>
    </w:p>
    <w:p w:rsidR="00FC6241" w:rsidRPr="002C7457" w:rsidRDefault="00FC6241" w:rsidP="00835D3A">
      <w:pPr>
        <w:pStyle w:val="Considrant"/>
      </w:pPr>
      <w:r w:rsidRPr="002C7457">
        <w:t>Precautionary measures have been adopted by several Member States and third countries and a sudden loss of consumer confidence due to perceived public health risks is causing a very significant disturbance of the Union fruit and vegetables market, especially in respect of cucumbers, tomatoes</w:t>
      </w:r>
      <w:r w:rsidR="000821ED" w:rsidRPr="002C7457">
        <w:t>, sweet peppers</w:t>
      </w:r>
      <w:r w:rsidR="00835D3A">
        <w:t>,</w:t>
      </w:r>
      <w:r w:rsidR="000821ED" w:rsidRPr="002C7457">
        <w:t xml:space="preserve"> courgettes </w:t>
      </w:r>
      <w:r w:rsidR="00835D3A">
        <w:t xml:space="preserve">and certain products of the </w:t>
      </w:r>
      <w:r w:rsidR="00835D3A" w:rsidRPr="00DC4DB2">
        <w:rPr>
          <w:noProof/>
        </w:rPr>
        <w:t>lettuce</w:t>
      </w:r>
      <w:r w:rsidR="00835D3A">
        <w:rPr>
          <w:noProof/>
        </w:rPr>
        <w:t xml:space="preserve"> and </w:t>
      </w:r>
      <w:r w:rsidR="009F4841">
        <w:rPr>
          <w:noProof/>
        </w:rPr>
        <w:t>endive</w:t>
      </w:r>
      <w:r w:rsidR="00835D3A">
        <w:rPr>
          <w:noProof/>
        </w:rPr>
        <w:t xml:space="preserve"> families </w:t>
      </w:r>
      <w:r w:rsidRPr="002C7457">
        <w:t>produced in the Union.</w:t>
      </w:r>
    </w:p>
    <w:p w:rsidR="00FC6241" w:rsidRPr="002C7457" w:rsidRDefault="000D7982" w:rsidP="002C7457">
      <w:pPr>
        <w:pStyle w:val="Considrant"/>
      </w:pPr>
      <w:r w:rsidRPr="002C7457">
        <w:t xml:space="preserve">In view of the current and </w:t>
      </w:r>
      <w:r w:rsidR="00CE472D" w:rsidRPr="002C7457">
        <w:t>expected</w:t>
      </w:r>
      <w:r w:rsidRPr="002C7457">
        <w:t xml:space="preserve"> market situation, and having regard to the fact that Regulation (EC) No 1234/2007 and </w:t>
      </w:r>
      <w:r w:rsidR="00EF6A02" w:rsidRPr="002C7457">
        <w:t>Commission Regulation (EC) No 1580/2007 of 21 December 2007 laying down implementing rules of Council Regulations (EC) No 2200/96, (EC) No 2201/96 and (EC) No 1182/2007 in the fruit and vegetable sector</w:t>
      </w:r>
      <w:r w:rsidR="00EF6A02" w:rsidRPr="00E2064F">
        <w:rPr>
          <w:rStyle w:val="Odkaznapoznmkupodiarou"/>
        </w:rPr>
        <w:footnoteReference w:id="2"/>
      </w:r>
      <w:r w:rsidR="00EF6A02" w:rsidRPr="002C7457">
        <w:t xml:space="preserve">, to be replaced </w:t>
      </w:r>
      <w:r w:rsidR="00771D8D" w:rsidRPr="002C7457">
        <w:t xml:space="preserve">as from 22 June 2011 </w:t>
      </w:r>
      <w:r w:rsidR="00EF6A02" w:rsidRPr="002C7457">
        <w:t xml:space="preserve">by </w:t>
      </w:r>
      <w:r w:rsidRPr="002C7457">
        <w:t xml:space="preserve">Commission </w:t>
      </w:r>
      <w:r w:rsidR="00FC6241" w:rsidRPr="002C7457">
        <w:t xml:space="preserve">Implementing </w:t>
      </w:r>
      <w:r w:rsidRPr="002C7457">
        <w:t>Regulation (E</w:t>
      </w:r>
      <w:r w:rsidR="00FC6241" w:rsidRPr="002C7457">
        <w:t>U</w:t>
      </w:r>
      <w:r w:rsidRPr="002C7457">
        <w:t xml:space="preserve">) No </w:t>
      </w:r>
      <w:r w:rsidR="00FA268F" w:rsidRPr="002C7457">
        <w:t>543/2011</w:t>
      </w:r>
      <w:r w:rsidR="00245184" w:rsidRPr="002C7457">
        <w:t xml:space="preserve"> </w:t>
      </w:r>
      <w:r w:rsidR="00FA268F" w:rsidRPr="002C7457">
        <w:t>of xx</w:t>
      </w:r>
      <w:r w:rsidR="00FC6241" w:rsidRPr="002C7457">
        <w:t xml:space="preserve"> </w:t>
      </w:r>
      <w:r w:rsidR="00FA268F" w:rsidRPr="002C7457">
        <w:t xml:space="preserve">June </w:t>
      </w:r>
      <w:r w:rsidR="00FC6241" w:rsidRPr="002C7457">
        <w:t>2011</w:t>
      </w:r>
      <w:r w:rsidR="00573E58" w:rsidRPr="002C7457">
        <w:t xml:space="preserve"> laying down </w:t>
      </w:r>
      <w:r w:rsidR="00FC6241" w:rsidRPr="002C7457">
        <w:t>detailed rules for the application of Council Regulation (EC) No 1234/2007 in respect of the fruit and vegetables and processed fruit and vegetables sectors</w:t>
      </w:r>
      <w:r w:rsidR="00573E58" w:rsidRPr="00E2064F">
        <w:rPr>
          <w:rStyle w:val="Odkaznapoznmkupodiarou"/>
        </w:rPr>
        <w:footnoteReference w:id="3"/>
      </w:r>
      <w:r w:rsidR="00573E58" w:rsidRPr="002C7457">
        <w:t xml:space="preserve"> </w:t>
      </w:r>
      <w:r w:rsidRPr="002C7457">
        <w:t xml:space="preserve">do not specifically provide for sector-specific instruments </w:t>
      </w:r>
      <w:r w:rsidR="002E40B5" w:rsidRPr="002C7457">
        <w:t>adequate</w:t>
      </w:r>
      <w:r w:rsidRPr="002C7457">
        <w:t xml:space="preserve"> to address the practical problems </w:t>
      </w:r>
      <w:r w:rsidR="002E40B5" w:rsidRPr="002C7457">
        <w:t xml:space="preserve">occurring in </w:t>
      </w:r>
      <w:r w:rsidRPr="002C7457">
        <w:t>the fruit and vegetables sector, it is necessary to adopt</w:t>
      </w:r>
      <w:r w:rsidR="002E40B5" w:rsidRPr="002C7457">
        <w:t xml:space="preserve"> exceptional measures</w:t>
      </w:r>
      <w:r w:rsidRPr="002C7457">
        <w:t>, as a matter of urgency</w:t>
      </w:r>
      <w:r w:rsidR="00D64DD4" w:rsidRPr="002C7457">
        <w:t xml:space="preserve"> and for a limited period of time</w:t>
      </w:r>
      <w:r w:rsidR="002E40B5" w:rsidRPr="002C7457">
        <w:t>.</w:t>
      </w:r>
    </w:p>
    <w:p w:rsidR="00246CBD" w:rsidRPr="002C7457" w:rsidRDefault="006254BE" w:rsidP="002C7457">
      <w:pPr>
        <w:pStyle w:val="Considrant"/>
      </w:pPr>
      <w:r w:rsidRPr="002C7457">
        <w:t>As cucumbers, tomatoes</w:t>
      </w:r>
      <w:r w:rsidR="00F3725F" w:rsidRPr="002C7457">
        <w:t>, sweet peppers</w:t>
      </w:r>
      <w:r w:rsidR="00835D3A">
        <w:t>,</w:t>
      </w:r>
      <w:r w:rsidR="00F3725F" w:rsidRPr="002C7457">
        <w:t xml:space="preserve"> courgettes </w:t>
      </w:r>
      <w:r w:rsidR="00835D3A">
        <w:t xml:space="preserve">and certain products of the </w:t>
      </w:r>
      <w:r w:rsidR="00835D3A" w:rsidRPr="00DC4DB2">
        <w:rPr>
          <w:noProof/>
        </w:rPr>
        <w:t>lettuce</w:t>
      </w:r>
      <w:r w:rsidR="00835D3A">
        <w:rPr>
          <w:noProof/>
        </w:rPr>
        <w:t xml:space="preserve"> and </w:t>
      </w:r>
      <w:r w:rsidR="009F4841">
        <w:rPr>
          <w:noProof/>
        </w:rPr>
        <w:t>endive</w:t>
      </w:r>
      <w:r w:rsidR="00835D3A">
        <w:rPr>
          <w:noProof/>
        </w:rPr>
        <w:t xml:space="preserve"> families </w:t>
      </w:r>
      <w:r w:rsidRPr="002C7457">
        <w:t>are the main products affected by the fruit and vegetables crisis, it is appropriate to limit the scope of the exceptional measures to those products.</w:t>
      </w:r>
    </w:p>
    <w:p w:rsidR="00805BFE" w:rsidRPr="002C7457" w:rsidRDefault="00246CBD" w:rsidP="002C7457">
      <w:pPr>
        <w:pStyle w:val="Considrant"/>
      </w:pPr>
      <w:r w:rsidRPr="002C7457">
        <w:t xml:space="preserve">In view of the specific </w:t>
      </w:r>
      <w:r w:rsidR="002E40B5" w:rsidRPr="002C7457">
        <w:t>nature</w:t>
      </w:r>
      <w:r w:rsidRPr="002C7457">
        <w:t xml:space="preserve"> of the fruit and vegetables sector, crisis management and market support measures </w:t>
      </w:r>
      <w:r w:rsidR="002E40B5" w:rsidRPr="002C7457">
        <w:t xml:space="preserve">referred to in Article 103c(2) of Regulation (EC) No </w:t>
      </w:r>
      <w:r w:rsidR="002E40B5" w:rsidRPr="002C7457">
        <w:lastRenderedPageBreak/>
        <w:t xml:space="preserve">1234/2007 </w:t>
      </w:r>
      <w:r w:rsidRPr="002C7457">
        <w:t>are most appropriate to support producer organisation recognised for the production of fruit and vegetables.</w:t>
      </w:r>
    </w:p>
    <w:p w:rsidR="00236AD3" w:rsidRDefault="00391303" w:rsidP="002C7457">
      <w:pPr>
        <w:pStyle w:val="Considrant"/>
      </w:pPr>
      <w:r w:rsidRPr="002C7457">
        <w:t>Additional support</w:t>
      </w:r>
      <w:r w:rsidR="00246CBD" w:rsidRPr="002C7457">
        <w:t xml:space="preserve"> should be granted by </w:t>
      </w:r>
      <w:r w:rsidRPr="002C7457">
        <w:t>the Union</w:t>
      </w:r>
      <w:r w:rsidR="00246CBD" w:rsidRPr="002C7457">
        <w:t xml:space="preserve"> in respect of market withdrawals</w:t>
      </w:r>
      <w:r w:rsidR="00835D3A">
        <w:t>, green harvesting</w:t>
      </w:r>
      <w:r w:rsidR="00246CBD" w:rsidRPr="002C7457">
        <w:t xml:space="preserve"> </w:t>
      </w:r>
      <w:r w:rsidR="00D11A58" w:rsidRPr="001D136E">
        <w:t xml:space="preserve">and non-harvesting </w:t>
      </w:r>
      <w:r w:rsidR="00246CBD" w:rsidRPr="002C7457">
        <w:t>of cucumbers,</w:t>
      </w:r>
      <w:r w:rsidR="00835D3A">
        <w:t xml:space="preserve"> </w:t>
      </w:r>
      <w:r w:rsidR="00246CBD" w:rsidRPr="002C7457">
        <w:t>tomatoes</w:t>
      </w:r>
      <w:r w:rsidR="00E55B81" w:rsidRPr="002C7457">
        <w:t>, sweet peppers</w:t>
      </w:r>
      <w:r w:rsidR="00835D3A">
        <w:t xml:space="preserve">, </w:t>
      </w:r>
      <w:r w:rsidR="00E55B81" w:rsidRPr="002C7457">
        <w:t xml:space="preserve">courgettes </w:t>
      </w:r>
      <w:r w:rsidR="00835D3A">
        <w:t xml:space="preserve">and certain products of the </w:t>
      </w:r>
      <w:r w:rsidR="00835D3A" w:rsidRPr="00DC4DB2">
        <w:rPr>
          <w:noProof/>
        </w:rPr>
        <w:t>lettuce</w:t>
      </w:r>
      <w:r w:rsidR="00835D3A">
        <w:rPr>
          <w:noProof/>
        </w:rPr>
        <w:t xml:space="preserve"> and </w:t>
      </w:r>
      <w:r w:rsidR="009F4841">
        <w:rPr>
          <w:noProof/>
        </w:rPr>
        <w:t>endive</w:t>
      </w:r>
      <w:r w:rsidR="00835D3A">
        <w:rPr>
          <w:noProof/>
        </w:rPr>
        <w:t xml:space="preserve"> families </w:t>
      </w:r>
      <w:r w:rsidR="00246CBD" w:rsidRPr="002C7457">
        <w:t xml:space="preserve">intended for fresh consumption. Having regard to the significant disturbance of the fruit and vegetables market and the relatively limited membership of producer organisations in </w:t>
      </w:r>
      <w:r w:rsidR="00D64DD4" w:rsidRPr="002C7457">
        <w:t xml:space="preserve">some Member States, it is </w:t>
      </w:r>
      <w:r w:rsidR="002E40B5" w:rsidRPr="002C7457">
        <w:t xml:space="preserve">also </w:t>
      </w:r>
      <w:r w:rsidR="00D64DD4" w:rsidRPr="002C7457">
        <w:t xml:space="preserve">necessary to grant </w:t>
      </w:r>
      <w:r w:rsidR="002E40B5" w:rsidRPr="002C7457">
        <w:t>U</w:t>
      </w:r>
      <w:r w:rsidR="00D64DD4" w:rsidRPr="002C7457">
        <w:t xml:space="preserve">nion support </w:t>
      </w:r>
      <w:r w:rsidR="00D11A58" w:rsidRPr="001D136E">
        <w:t>for such measures</w:t>
      </w:r>
      <w:r w:rsidR="00D11A58" w:rsidRPr="002C7457">
        <w:t xml:space="preserve"> </w:t>
      </w:r>
      <w:r w:rsidR="00D64DD4" w:rsidRPr="002C7457">
        <w:t xml:space="preserve">to </w:t>
      </w:r>
      <w:r w:rsidR="00246CBD" w:rsidRPr="002C7457">
        <w:t>producers of fruit and vegetable</w:t>
      </w:r>
      <w:r w:rsidR="00217D61" w:rsidRPr="002C7457">
        <w:t>s</w:t>
      </w:r>
      <w:r w:rsidR="00246CBD" w:rsidRPr="002C7457">
        <w:t xml:space="preserve"> who are not members of a recognised producer organisation and who signed a contract with a recognised producer organisation to withdraw</w:t>
      </w:r>
      <w:r w:rsidR="00B900B3">
        <w:t>,</w:t>
      </w:r>
      <w:r w:rsidR="00246CBD" w:rsidRPr="002C7457">
        <w:t xml:space="preserve"> </w:t>
      </w:r>
      <w:r w:rsidR="00D64DD4" w:rsidRPr="002C7457">
        <w:t xml:space="preserve">cucumbers, </w:t>
      </w:r>
      <w:r w:rsidR="00C91619" w:rsidRPr="000A1063">
        <w:t>tomatoes</w:t>
      </w:r>
      <w:r w:rsidR="00C91619">
        <w:t>, sweet peppers</w:t>
      </w:r>
      <w:r w:rsidR="000F326B">
        <w:t>,</w:t>
      </w:r>
      <w:r w:rsidR="00C91619">
        <w:t xml:space="preserve"> courgettes</w:t>
      </w:r>
      <w:r w:rsidR="000F326B" w:rsidRPr="000F326B">
        <w:t xml:space="preserve"> </w:t>
      </w:r>
      <w:r w:rsidR="000F326B">
        <w:t xml:space="preserve">and certain products of the </w:t>
      </w:r>
      <w:r w:rsidR="000F326B" w:rsidRPr="00DC4DB2">
        <w:rPr>
          <w:noProof/>
        </w:rPr>
        <w:t>lettuce</w:t>
      </w:r>
      <w:r w:rsidR="000F326B">
        <w:rPr>
          <w:noProof/>
        </w:rPr>
        <w:t xml:space="preserve"> and </w:t>
      </w:r>
      <w:r w:rsidR="009F4841">
        <w:rPr>
          <w:noProof/>
        </w:rPr>
        <w:t>endive</w:t>
      </w:r>
      <w:r w:rsidR="000F326B">
        <w:rPr>
          <w:noProof/>
        </w:rPr>
        <w:t xml:space="preserve"> families</w:t>
      </w:r>
      <w:r w:rsidR="00C91619" w:rsidRPr="000A1063">
        <w:t>.</w:t>
      </w:r>
    </w:p>
    <w:p w:rsidR="00D11A58" w:rsidRPr="00A96CF6" w:rsidRDefault="00D11A58" w:rsidP="00A96CF6">
      <w:pPr>
        <w:pStyle w:val="Considrant"/>
      </w:pPr>
      <w:r w:rsidRPr="00A96CF6">
        <w:t>For the sake of uniformity and in order to avoid overcompensation, maximum levels of additional Union support for withdrawals</w:t>
      </w:r>
      <w:r w:rsidR="000F326B" w:rsidRPr="00A96CF6">
        <w:t>, green harvesting</w:t>
      </w:r>
      <w:r w:rsidRPr="00A96CF6">
        <w:t xml:space="preserve"> and non-harvesting should be set at Union level. In order to take the particular characteristics of non-harvesting </w:t>
      </w:r>
      <w:r w:rsidR="00AD260B" w:rsidRPr="00A96CF6">
        <w:t xml:space="preserve">and green harvesting </w:t>
      </w:r>
      <w:r w:rsidRPr="00A96CF6">
        <w:t>operations into account, Member States should convert the kg based approach for withdrawals into a hectare based approach, on the basis of yields.</w:t>
      </w:r>
      <w:r w:rsidR="000F326B" w:rsidRPr="00A96CF6">
        <w:t xml:space="preserve"> </w:t>
      </w:r>
    </w:p>
    <w:p w:rsidR="00236AD3" w:rsidRPr="002C7457" w:rsidRDefault="00E13DBA" w:rsidP="002C7457">
      <w:pPr>
        <w:pStyle w:val="Considrant"/>
      </w:pPr>
      <w:r w:rsidRPr="002C7457">
        <w:t xml:space="preserve">Producer organisations are the </w:t>
      </w:r>
      <w:r w:rsidR="00236AD3" w:rsidRPr="002C7457">
        <w:t xml:space="preserve">basic actors of the fruit and vegetables sector and are the </w:t>
      </w:r>
      <w:r w:rsidR="00B10A8B" w:rsidRPr="002C7457">
        <w:t>most suited</w:t>
      </w:r>
      <w:r w:rsidRPr="002C7457">
        <w:t xml:space="preserve"> entities to ensure that Union </w:t>
      </w:r>
      <w:r w:rsidR="00B10A8B" w:rsidRPr="002C7457">
        <w:t xml:space="preserve">support </w:t>
      </w:r>
      <w:r w:rsidRPr="002C7457">
        <w:t xml:space="preserve">is paid to producers who are not members of a recognised producer organisation. </w:t>
      </w:r>
      <w:r w:rsidR="00D532F0" w:rsidRPr="002C7457">
        <w:t xml:space="preserve">They should ensure that Union support is paid to the producers who are not members of a recognised producer organisation </w:t>
      </w:r>
      <w:r w:rsidR="00236AD3" w:rsidRPr="002C7457">
        <w:t>through the conclusion of</w:t>
      </w:r>
      <w:r w:rsidR="00D532F0" w:rsidRPr="002C7457">
        <w:t xml:space="preserve"> a contract. </w:t>
      </w:r>
      <w:r w:rsidR="000A19DE" w:rsidRPr="002C7457">
        <w:t>As not all Member States have the same degree of organisation at the supply side of the fruit and vegetables market, it is appropriate to allow the competent authority of the Member States to pay the Union support directly to the producers where t</w:t>
      </w:r>
      <w:r w:rsidR="00461AA0" w:rsidRPr="002C7457">
        <w:t>his</w:t>
      </w:r>
      <w:r w:rsidR="000A19DE" w:rsidRPr="002C7457">
        <w:t xml:space="preserve"> is duly justified.</w:t>
      </w:r>
    </w:p>
    <w:p w:rsidR="006A4E6B" w:rsidRDefault="006254BE" w:rsidP="00E2064F">
      <w:pPr>
        <w:pStyle w:val="Considrant"/>
      </w:pPr>
      <w:r w:rsidRPr="000A1063">
        <w:t>For the sake of budgetary discipline, it is necessary to provide for a ceiling for the expenditure to be financed by the European Agricultural Guarantee Fund (EAGF)</w:t>
      </w:r>
      <w:r w:rsidR="00A33DA2" w:rsidRPr="000A1063">
        <w:t xml:space="preserve"> and to set up a notification and monitoring system, under which the Member States inform the Commission in respect of their withdrawal</w:t>
      </w:r>
      <w:r w:rsidR="00B40FCA">
        <w:t>,</w:t>
      </w:r>
      <w:r w:rsidR="00A33DA2" w:rsidRPr="000A1063">
        <w:t xml:space="preserve"> non-harvesting </w:t>
      </w:r>
      <w:r w:rsidR="00B40FCA">
        <w:t xml:space="preserve">and green harvesting </w:t>
      </w:r>
      <w:r w:rsidR="00A33DA2" w:rsidRPr="000A1063">
        <w:t>operations</w:t>
      </w:r>
      <w:r w:rsidR="00217D61" w:rsidRPr="000A1063">
        <w:t>.</w:t>
      </w:r>
    </w:p>
    <w:p w:rsidR="00EE1470" w:rsidRPr="002C7457" w:rsidRDefault="00217D61" w:rsidP="00E2064F">
      <w:pPr>
        <w:pStyle w:val="Considrant"/>
      </w:pPr>
      <w:r w:rsidRPr="002C7457">
        <w:t xml:space="preserve">In order to </w:t>
      </w:r>
      <w:r w:rsidR="00A31E2E" w:rsidRPr="002C7457">
        <w:t xml:space="preserve">limit the impact of the harm caused to the fruit and vegetables sector, this Regulation should </w:t>
      </w:r>
      <w:r w:rsidR="00D11A58">
        <w:t xml:space="preserve">cover a period starting on </w:t>
      </w:r>
      <w:r w:rsidR="00A31E2E" w:rsidRPr="002C7457">
        <w:t xml:space="preserve">26 May 2011. For reasons of urgency, this Regulation should enter into force </w:t>
      </w:r>
      <w:r w:rsidR="00D11A58">
        <w:t>on the day of</w:t>
      </w:r>
      <w:r w:rsidR="00A31E2E" w:rsidRPr="002C7457">
        <w:t xml:space="preserve"> its publication.</w:t>
      </w:r>
    </w:p>
    <w:p w:rsidR="000D7982" w:rsidRPr="000A1063" w:rsidRDefault="00B40FCA" w:rsidP="00B40FCA">
      <w:pPr>
        <w:pStyle w:val="Considrant"/>
      </w:pPr>
      <w:r w:rsidRPr="00B40FCA">
        <w:t>The Management Committee for the Common Organisation</w:t>
      </w:r>
      <w:r>
        <w:t xml:space="preserve"> </w:t>
      </w:r>
      <w:r w:rsidRPr="00B40FCA">
        <w:t>of Agricultural Markets has not delivered an opinion</w:t>
      </w:r>
      <w:r>
        <w:t xml:space="preserve"> </w:t>
      </w:r>
      <w:r w:rsidRPr="00B40FCA">
        <w:t>within the time limit set by its Chairman</w:t>
      </w:r>
      <w:r w:rsidR="00DB27EF">
        <w:t>,</w:t>
      </w:r>
    </w:p>
    <w:p w:rsidR="00BB4D8E" w:rsidRPr="00F62F54" w:rsidRDefault="00BB4D8E">
      <w:pPr>
        <w:pStyle w:val="Formuledadoption"/>
      </w:pPr>
      <w:r w:rsidRPr="000D7982">
        <w:t>HAS ADOPTED THIS REGULATION</w:t>
      </w:r>
      <w:r w:rsidRPr="00F62F54">
        <w:t>:</w:t>
      </w:r>
    </w:p>
    <w:p w:rsidR="00BB4D8E" w:rsidRPr="00F62F54" w:rsidRDefault="00BB4D8E">
      <w:pPr>
        <w:pStyle w:val="Titrearticle"/>
      </w:pPr>
      <w:r w:rsidRPr="00F62F54">
        <w:t>Article 1</w:t>
      </w:r>
    </w:p>
    <w:p w:rsidR="00175A79" w:rsidRDefault="00FB3C2A" w:rsidP="00175A79">
      <w:pPr>
        <w:jc w:val="center"/>
        <w:rPr>
          <w:bCs/>
          <w:i/>
        </w:rPr>
      </w:pPr>
      <w:r>
        <w:rPr>
          <w:bCs/>
          <w:i/>
        </w:rPr>
        <w:t>Scope</w:t>
      </w:r>
    </w:p>
    <w:p w:rsidR="00394862" w:rsidRPr="00DC4DB2" w:rsidRDefault="005A45B8" w:rsidP="002C7457">
      <w:pPr>
        <w:pStyle w:val="Point0"/>
      </w:pPr>
      <w:r w:rsidRPr="00DC4DB2">
        <w:t>1.</w:t>
      </w:r>
      <w:r w:rsidRPr="00DC4DB2">
        <w:tab/>
      </w:r>
      <w:r w:rsidR="00394862" w:rsidRPr="00DC4DB2">
        <w:t xml:space="preserve">Exceptional </w:t>
      </w:r>
      <w:r w:rsidR="00B077CF" w:rsidRPr="00DC4DB2">
        <w:t>s</w:t>
      </w:r>
      <w:r w:rsidR="00F10A03" w:rsidRPr="00DC4DB2">
        <w:t>upport</w:t>
      </w:r>
      <w:r w:rsidR="00391303" w:rsidRPr="00DC4DB2">
        <w:t xml:space="preserve"> </w:t>
      </w:r>
      <w:r w:rsidR="00F10A03" w:rsidRPr="00DC4DB2">
        <w:t xml:space="preserve">shall be granted to producer organisations referred to in Article 122 (a)(iii) of Regulation (EC) No 1234/2007 and to </w:t>
      </w:r>
      <w:r w:rsidR="00343C5C" w:rsidRPr="00DC4DB2">
        <w:t>producers</w:t>
      </w:r>
      <w:r w:rsidR="00F10A03" w:rsidRPr="00DC4DB2">
        <w:t xml:space="preserve"> who are not members of </w:t>
      </w:r>
      <w:r w:rsidR="00394862" w:rsidRPr="00DC4DB2">
        <w:t xml:space="preserve">those </w:t>
      </w:r>
      <w:r w:rsidR="00F10A03" w:rsidRPr="00DC4DB2">
        <w:t>organisations</w:t>
      </w:r>
      <w:r w:rsidR="00394862" w:rsidRPr="00DC4DB2">
        <w:t xml:space="preserve">, </w:t>
      </w:r>
      <w:r w:rsidR="00D11A58" w:rsidRPr="001D136E">
        <w:t xml:space="preserve">for the </w:t>
      </w:r>
      <w:r w:rsidR="00D11A58">
        <w:t xml:space="preserve">period </w:t>
      </w:r>
      <w:r w:rsidR="00632045" w:rsidRPr="00CD1A83">
        <w:rPr>
          <w:lang w:val="en" w:eastAsia="en-GB"/>
        </w:rPr>
        <w:t xml:space="preserve">from </w:t>
      </w:r>
      <w:r w:rsidR="00632045" w:rsidRPr="00CD1A83">
        <w:t>26 May 2011 to 30 June 2011</w:t>
      </w:r>
      <w:r w:rsidR="00632045">
        <w:t xml:space="preserve"> and </w:t>
      </w:r>
      <w:r w:rsidR="00B077CF" w:rsidRPr="00DC4DB2">
        <w:t xml:space="preserve">in relation to </w:t>
      </w:r>
      <w:r w:rsidR="00394862" w:rsidRPr="00DC4DB2">
        <w:t xml:space="preserve">the following products of </w:t>
      </w:r>
      <w:r w:rsidR="00B10A8B">
        <w:t>the</w:t>
      </w:r>
      <w:r w:rsidR="00394862" w:rsidRPr="00DC4DB2">
        <w:t xml:space="preserve"> fruit and vegetables sector intended for fresh consumption:</w:t>
      </w:r>
    </w:p>
    <w:p w:rsidR="00394862" w:rsidRDefault="00394862" w:rsidP="005A45B8">
      <w:pPr>
        <w:pStyle w:val="Point1"/>
      </w:pPr>
      <w:r w:rsidRPr="00DC4DB2">
        <w:t>(a)</w:t>
      </w:r>
      <w:r w:rsidR="00E45983">
        <w:tab/>
      </w:r>
      <w:r w:rsidRPr="00DC4DB2">
        <w:t>tomatoes falling within CN code 0702 00 00;</w:t>
      </w:r>
    </w:p>
    <w:p w:rsidR="00394862" w:rsidRDefault="00394862" w:rsidP="005A45B8">
      <w:pPr>
        <w:pStyle w:val="Point1"/>
      </w:pPr>
      <w:r w:rsidRPr="00DC4DB2">
        <w:t>(b)</w:t>
      </w:r>
      <w:r w:rsidR="00E45983">
        <w:tab/>
      </w:r>
      <w:r w:rsidRPr="00DC4DB2">
        <w:rPr>
          <w:noProof/>
        </w:rPr>
        <w:t>lettuce</w:t>
      </w:r>
      <w:r w:rsidR="001D774C">
        <w:rPr>
          <w:noProof/>
        </w:rPr>
        <w:t xml:space="preserve"> </w:t>
      </w:r>
      <w:r w:rsidRPr="00DC4DB2">
        <w:t>falling within CN code 0705 11 00</w:t>
      </w:r>
      <w:r w:rsidR="001D774C">
        <w:t xml:space="preserve"> and</w:t>
      </w:r>
      <w:r w:rsidRPr="00DC4DB2">
        <w:t xml:space="preserve"> CN 0705 19 00</w:t>
      </w:r>
      <w:r w:rsidR="000D2EA4">
        <w:t xml:space="preserve"> and </w:t>
      </w:r>
      <w:r w:rsidR="001D774C">
        <w:t xml:space="preserve">curled-leaved and broad-leaved (Batavian) endives falling within </w:t>
      </w:r>
      <w:r w:rsidR="000D2EA4">
        <w:t>CN 0705 29 00</w:t>
      </w:r>
      <w:r w:rsidR="00391303" w:rsidRPr="00DC4DB2">
        <w:t>;</w:t>
      </w:r>
    </w:p>
    <w:p w:rsidR="00394862" w:rsidRDefault="00394862" w:rsidP="005A45B8">
      <w:pPr>
        <w:pStyle w:val="Point1"/>
        <w:rPr>
          <w:noProof/>
        </w:rPr>
      </w:pPr>
      <w:r w:rsidRPr="00DC4DB2">
        <w:rPr>
          <w:noProof/>
        </w:rPr>
        <w:t>(c)</w:t>
      </w:r>
      <w:r w:rsidR="00E45983">
        <w:rPr>
          <w:noProof/>
        </w:rPr>
        <w:tab/>
      </w:r>
      <w:r w:rsidRPr="00DC4DB2">
        <w:rPr>
          <w:noProof/>
        </w:rPr>
        <w:t>cucumbers</w:t>
      </w:r>
      <w:r w:rsidR="00B077CF" w:rsidRPr="00DC4DB2">
        <w:rPr>
          <w:noProof/>
        </w:rPr>
        <w:t xml:space="preserve"> falling</w:t>
      </w:r>
      <w:r w:rsidRPr="00DC4DB2">
        <w:rPr>
          <w:noProof/>
        </w:rPr>
        <w:t xml:space="preserve"> within CN code 0707 00 05</w:t>
      </w:r>
      <w:r w:rsidR="0095283A">
        <w:rPr>
          <w:noProof/>
        </w:rPr>
        <w:t>;</w:t>
      </w:r>
    </w:p>
    <w:p w:rsidR="00BC58F8" w:rsidRDefault="00BC58F8" w:rsidP="005A45B8">
      <w:pPr>
        <w:pStyle w:val="Point1"/>
        <w:rPr>
          <w:noProof/>
        </w:rPr>
      </w:pPr>
      <w:r>
        <w:rPr>
          <w:noProof/>
        </w:rPr>
        <w:t>(</w:t>
      </w:r>
      <w:r w:rsidR="00B900B3">
        <w:rPr>
          <w:noProof/>
        </w:rPr>
        <w:t>d</w:t>
      </w:r>
      <w:r>
        <w:rPr>
          <w:noProof/>
        </w:rPr>
        <w:t>)</w:t>
      </w:r>
      <w:r w:rsidR="00E45983">
        <w:rPr>
          <w:noProof/>
        </w:rPr>
        <w:tab/>
      </w:r>
      <w:r>
        <w:rPr>
          <w:noProof/>
        </w:rPr>
        <w:t>sweet peppers falling within CN code 0709 60 10;</w:t>
      </w:r>
    </w:p>
    <w:p w:rsidR="00BC58F8" w:rsidRPr="00DC4DB2" w:rsidRDefault="00E45983" w:rsidP="005A45B8">
      <w:pPr>
        <w:pStyle w:val="Point1"/>
        <w:rPr>
          <w:noProof/>
        </w:rPr>
      </w:pPr>
      <w:r>
        <w:rPr>
          <w:noProof/>
        </w:rPr>
        <w:t>(</w:t>
      </w:r>
      <w:r w:rsidR="00B900B3">
        <w:rPr>
          <w:noProof/>
        </w:rPr>
        <w:t>e</w:t>
      </w:r>
      <w:r>
        <w:rPr>
          <w:noProof/>
        </w:rPr>
        <w:t>)</w:t>
      </w:r>
      <w:r>
        <w:rPr>
          <w:noProof/>
        </w:rPr>
        <w:tab/>
      </w:r>
      <w:r w:rsidR="00BC58F8">
        <w:rPr>
          <w:noProof/>
        </w:rPr>
        <w:t>courgettes falling within CN code 0709 90 70.</w:t>
      </w:r>
    </w:p>
    <w:p w:rsidR="005A45B8" w:rsidRDefault="005A45B8" w:rsidP="002C7457">
      <w:pPr>
        <w:pStyle w:val="Point0"/>
        <w:rPr>
          <w:lang w:eastAsia="en-GB"/>
        </w:rPr>
      </w:pPr>
      <w:r w:rsidRPr="00DC4DB2">
        <w:rPr>
          <w:lang w:eastAsia="en-GB"/>
        </w:rPr>
        <w:t>2.</w:t>
      </w:r>
      <w:r w:rsidRPr="00DC4DB2">
        <w:rPr>
          <w:lang w:eastAsia="en-GB"/>
        </w:rPr>
        <w:tab/>
        <w:t>The measures taken under this Regulation shall be considered to be intervention measures to regulate agricultural markets within the meaning of Article 3(1)(b)</w:t>
      </w:r>
      <w:r w:rsidR="007D1900">
        <w:rPr>
          <w:lang w:eastAsia="en-GB"/>
        </w:rPr>
        <w:t xml:space="preserve"> </w:t>
      </w:r>
      <w:r w:rsidRPr="00DC4DB2">
        <w:rPr>
          <w:lang w:eastAsia="en-GB"/>
        </w:rPr>
        <w:t>of Council Regulation (EC) No 1290/2005.</w:t>
      </w:r>
      <w:r w:rsidR="00521661">
        <w:rPr>
          <w:rStyle w:val="Odkaznapoznmkupodiarou"/>
          <w:lang w:eastAsia="en-GB"/>
        </w:rPr>
        <w:footnoteReference w:id="4"/>
      </w:r>
    </w:p>
    <w:p w:rsidR="00CB16C7" w:rsidRPr="00E8514F" w:rsidRDefault="00CB16C7" w:rsidP="00CB16C7">
      <w:pPr>
        <w:pStyle w:val="Titrearticle"/>
      </w:pPr>
      <w:r w:rsidRPr="00E8514F">
        <w:t>Article 2</w:t>
      </w:r>
    </w:p>
    <w:p w:rsidR="00CB16C7" w:rsidRPr="00E8514F" w:rsidRDefault="00CB16C7" w:rsidP="00CB16C7">
      <w:pPr>
        <w:jc w:val="center"/>
        <w:rPr>
          <w:bCs/>
          <w:i/>
        </w:rPr>
      </w:pPr>
      <w:r w:rsidRPr="00E8514F">
        <w:rPr>
          <w:bCs/>
          <w:i/>
        </w:rPr>
        <w:t xml:space="preserve">Maximum amount of support </w:t>
      </w:r>
    </w:p>
    <w:p w:rsidR="00A1731D" w:rsidRDefault="00CB16C7" w:rsidP="00A1731D">
      <w:r w:rsidRPr="00E8514F">
        <w:t xml:space="preserve">Total </w:t>
      </w:r>
      <w:r w:rsidR="00067A24" w:rsidRPr="00E8514F">
        <w:t xml:space="preserve">Union </w:t>
      </w:r>
      <w:r w:rsidRPr="00E8514F">
        <w:t xml:space="preserve">expenditure incurred for the purposes of this Regulation shall not exceed EUR </w:t>
      </w:r>
      <w:r w:rsidR="00BC58F8">
        <w:t>2</w:t>
      </w:r>
      <w:r w:rsidR="00013EFD">
        <w:t>10</w:t>
      </w:r>
      <w:r w:rsidRPr="00E8514F">
        <w:t xml:space="preserve">.000.000. </w:t>
      </w:r>
      <w:r w:rsidR="0034603C" w:rsidRPr="00E8514F">
        <w:t xml:space="preserve">It </w:t>
      </w:r>
      <w:r w:rsidR="00A1731D" w:rsidRPr="00E8514F">
        <w:rPr>
          <w:noProof/>
        </w:rPr>
        <w:t>shall b</w:t>
      </w:r>
      <w:r w:rsidR="00013EFD">
        <w:rPr>
          <w:noProof/>
        </w:rPr>
        <w:t>e</w:t>
      </w:r>
      <w:r w:rsidR="00A1731D" w:rsidRPr="00E8514F">
        <w:rPr>
          <w:noProof/>
        </w:rPr>
        <w:t xml:space="preserve"> financed by the </w:t>
      </w:r>
      <w:r w:rsidR="00A1731D" w:rsidRPr="00E8514F">
        <w:t>European Agricultural Guarantee Fund (EAGF)</w:t>
      </w:r>
      <w:r w:rsidR="00B70D4E">
        <w:t xml:space="preserve"> </w:t>
      </w:r>
      <w:r w:rsidR="00A1731D" w:rsidRPr="00E8514F">
        <w:t>and be used solely for the purpose of financing the measures provided for under this Regulation.</w:t>
      </w:r>
      <w:r w:rsidR="00A1731D">
        <w:t xml:space="preserve"> </w:t>
      </w:r>
    </w:p>
    <w:p w:rsidR="003D6993" w:rsidRPr="00B06E13" w:rsidRDefault="003D6993" w:rsidP="00B06E13">
      <w:pPr>
        <w:pStyle w:val="Titrearticle"/>
      </w:pPr>
      <w:r w:rsidRPr="00B06E13">
        <w:t xml:space="preserve">Article </w:t>
      </w:r>
      <w:r w:rsidR="00CB16C7" w:rsidRPr="00B06E13">
        <w:t>3</w:t>
      </w:r>
    </w:p>
    <w:p w:rsidR="00305810" w:rsidRPr="00B06E13" w:rsidRDefault="00305810" w:rsidP="00B06E13">
      <w:pPr>
        <w:pStyle w:val="Titrearticle"/>
      </w:pPr>
      <w:r w:rsidRPr="00B06E13">
        <w:t xml:space="preserve">Applicability of rules </w:t>
      </w:r>
    </w:p>
    <w:p w:rsidR="003D5C0C" w:rsidRDefault="003D5C0C" w:rsidP="003D5C0C">
      <w:r>
        <w:t>S</w:t>
      </w:r>
      <w:r w:rsidRPr="00E8514F">
        <w:t>ave as explicitly provided for otherwise in this Regulation</w:t>
      </w:r>
      <w:r>
        <w:t>,</w:t>
      </w:r>
      <w:r w:rsidRPr="00E8514F">
        <w:t xml:space="preserve"> Regulation (EC) No 1234/2007, Regulation (EC) No 1580/2007 and Implementing Regulation (EU) No 543/2011 shall apply</w:t>
      </w:r>
      <w:r>
        <w:t xml:space="preserve"> in respect of producer organisations and its members and </w:t>
      </w:r>
      <w:r w:rsidRPr="00E8514F">
        <w:t xml:space="preserve">shall apply </w:t>
      </w:r>
      <w:r w:rsidRPr="003D5C0C">
        <w:t>mutatis mutandis</w:t>
      </w:r>
      <w:r w:rsidRPr="00E8514F">
        <w:t xml:space="preserve"> in respect of the producers referred to in Article 5.</w:t>
      </w:r>
      <w:r>
        <w:t xml:space="preserve"> </w:t>
      </w:r>
    </w:p>
    <w:p w:rsidR="00305810" w:rsidRPr="00B06E13" w:rsidRDefault="00305810" w:rsidP="00B06E13">
      <w:pPr>
        <w:pStyle w:val="Titrearticle"/>
      </w:pPr>
      <w:r w:rsidRPr="00B06E13">
        <w:t xml:space="preserve">Article </w:t>
      </w:r>
      <w:r w:rsidR="00CB16C7" w:rsidRPr="00B06E13">
        <w:t>4</w:t>
      </w:r>
    </w:p>
    <w:p w:rsidR="003D6993" w:rsidRPr="00DC4DB2" w:rsidRDefault="003D6993" w:rsidP="002423E5">
      <w:pPr>
        <w:jc w:val="center"/>
        <w:rPr>
          <w:bCs/>
          <w:i/>
        </w:rPr>
      </w:pPr>
      <w:r w:rsidRPr="00DC4DB2">
        <w:rPr>
          <w:bCs/>
          <w:i/>
        </w:rPr>
        <w:t>Producer organisations</w:t>
      </w:r>
    </w:p>
    <w:p w:rsidR="004E5717" w:rsidRPr="00DC4DB2" w:rsidRDefault="008B4253" w:rsidP="000D3B80">
      <w:pPr>
        <w:pStyle w:val="Point0"/>
      </w:pPr>
      <w:r w:rsidRPr="00DC4DB2">
        <w:t>1.</w:t>
      </w:r>
      <w:r w:rsidRPr="00DC4DB2">
        <w:tab/>
        <w:t xml:space="preserve">The 5% ceiling referred to in </w:t>
      </w:r>
      <w:r w:rsidR="005F5DF5" w:rsidRPr="00DC4DB2">
        <w:t>Article</w:t>
      </w:r>
      <w:r w:rsidR="005F5DF5">
        <w:t xml:space="preserve"> 80(2) of </w:t>
      </w:r>
      <w:r w:rsidR="005F5DF5" w:rsidRPr="000D7982">
        <w:t>Regulation (EC) No 1580/2007</w:t>
      </w:r>
      <w:r w:rsidR="005F5DF5">
        <w:t xml:space="preserve"> and in </w:t>
      </w:r>
      <w:r w:rsidRPr="00DC4DB2">
        <w:t xml:space="preserve">Article </w:t>
      </w:r>
      <w:r w:rsidR="00B962F9" w:rsidRPr="00DC4DB2">
        <w:t>79</w:t>
      </w:r>
      <w:r w:rsidRPr="00DC4DB2">
        <w:t xml:space="preserve">(2) of </w:t>
      </w:r>
      <w:r w:rsidR="00226AF8" w:rsidRPr="00DC4DB2">
        <w:t xml:space="preserve">Implementing Regulation (EU) No </w:t>
      </w:r>
      <w:r w:rsidR="00226AF8" w:rsidRPr="00DC4DB2">
        <w:rPr>
          <w:lang w:eastAsia="en-GB"/>
        </w:rPr>
        <w:t xml:space="preserve">543/2011 </w:t>
      </w:r>
      <w:r w:rsidR="00226AF8" w:rsidRPr="00DC4DB2">
        <w:t>shall</w:t>
      </w:r>
      <w:r w:rsidR="00580477" w:rsidRPr="00DC4DB2">
        <w:t xml:space="preserve"> not apply </w:t>
      </w:r>
      <w:r w:rsidR="005A45B8" w:rsidRPr="00DC4DB2">
        <w:rPr>
          <w:lang w:eastAsia="en-GB"/>
        </w:rPr>
        <w:t xml:space="preserve">in respect </w:t>
      </w:r>
      <w:r w:rsidRPr="00DC4DB2">
        <w:t>of the products referred to in Article 1</w:t>
      </w:r>
      <w:r w:rsidR="00DC4DB2">
        <w:t>(1)</w:t>
      </w:r>
      <w:r w:rsidR="00865F65" w:rsidRPr="00DC4DB2">
        <w:t xml:space="preserve"> </w:t>
      </w:r>
      <w:r w:rsidR="00A22381">
        <w:t xml:space="preserve">of this Regulation </w:t>
      </w:r>
      <w:r w:rsidRPr="00DC4DB2">
        <w:t xml:space="preserve">when those products </w:t>
      </w:r>
      <w:r w:rsidR="00580477" w:rsidRPr="00DC4DB2">
        <w:t>a</w:t>
      </w:r>
      <w:r w:rsidRPr="00DC4DB2">
        <w:t xml:space="preserve">re withdrawn during the period referred to </w:t>
      </w:r>
      <w:r w:rsidR="0056505D">
        <w:t>in that Article.</w:t>
      </w:r>
    </w:p>
    <w:p w:rsidR="00DC4DB2" w:rsidRDefault="004E5717" w:rsidP="00DC4DB2">
      <w:pPr>
        <w:pStyle w:val="Point0"/>
        <w:rPr>
          <w:noProof/>
        </w:rPr>
      </w:pPr>
      <w:r w:rsidRPr="005A45B8">
        <w:t>2.</w:t>
      </w:r>
      <w:r w:rsidRPr="005A45B8">
        <w:tab/>
        <w:t>Non-harvesting measures</w:t>
      </w:r>
      <w:r w:rsidR="007D3FF8" w:rsidRPr="005A45B8">
        <w:t xml:space="preserve"> </w:t>
      </w:r>
      <w:r w:rsidR="00305810" w:rsidRPr="005A45B8">
        <w:t xml:space="preserve">referred to </w:t>
      </w:r>
      <w:r w:rsidR="00305810" w:rsidRPr="00CE472D">
        <w:t xml:space="preserve">in </w:t>
      </w:r>
      <w:r w:rsidR="005F5DF5">
        <w:t xml:space="preserve">Article 85(2) of </w:t>
      </w:r>
      <w:r w:rsidR="005F5DF5" w:rsidRPr="000D7982">
        <w:t>Regulation (EC) No 1580/2007</w:t>
      </w:r>
      <w:r w:rsidR="005F5DF5">
        <w:t xml:space="preserve"> and in Article 84(1)(b) </w:t>
      </w:r>
      <w:r w:rsidR="00305810" w:rsidRPr="005A45B8">
        <w:t xml:space="preserve">of Implementing Regulation (EU) No </w:t>
      </w:r>
      <w:r w:rsidR="00305810" w:rsidRPr="005A45B8">
        <w:rPr>
          <w:lang w:eastAsia="en-GB"/>
        </w:rPr>
        <w:t>543/2011</w:t>
      </w:r>
      <w:r w:rsidR="00305810" w:rsidRPr="005A45B8">
        <w:t xml:space="preserve"> may, in respect of products</w:t>
      </w:r>
      <w:r w:rsidR="00632045">
        <w:t xml:space="preserve"> </w:t>
      </w:r>
      <w:r w:rsidR="00632045" w:rsidRPr="005A45B8">
        <w:t xml:space="preserve">and during the period </w:t>
      </w:r>
      <w:r w:rsidR="00305810" w:rsidRPr="005A45B8">
        <w:t>referred to in Article 1</w:t>
      </w:r>
      <w:r w:rsidR="00DC4DB2">
        <w:t>(1)</w:t>
      </w:r>
      <w:r w:rsidR="009C7395">
        <w:t xml:space="preserve"> </w:t>
      </w:r>
      <w:r w:rsidR="009C7395" w:rsidRPr="001D136E">
        <w:t>of this Regulation</w:t>
      </w:r>
      <w:r w:rsidR="00305810" w:rsidRPr="005A45B8">
        <w:t xml:space="preserve">, be undertaken </w:t>
      </w:r>
      <w:r w:rsidR="00305810" w:rsidRPr="005A45B8">
        <w:rPr>
          <w:noProof/>
        </w:rPr>
        <w:t xml:space="preserve">even where commercial production has been taken from the producing area concerned during the normal production cycle. In such cases, the compensation amounts referred to in </w:t>
      </w:r>
      <w:r w:rsidR="005F5DF5">
        <w:t xml:space="preserve">Article 86(4) of </w:t>
      </w:r>
      <w:r w:rsidR="005F5DF5" w:rsidRPr="000D7982">
        <w:t>Regulation (EC) No 1580/2007</w:t>
      </w:r>
      <w:r w:rsidR="005F5DF5">
        <w:t xml:space="preserve"> and in </w:t>
      </w:r>
      <w:r w:rsidR="00305810" w:rsidRPr="005F5DF5">
        <w:rPr>
          <w:noProof/>
        </w:rPr>
        <w:t xml:space="preserve">Article 85(4) of </w:t>
      </w:r>
      <w:r w:rsidR="00305810" w:rsidRPr="005F5DF5">
        <w:t xml:space="preserve">Implementing Regulation (EU) No </w:t>
      </w:r>
      <w:r w:rsidR="00305810" w:rsidRPr="005F5DF5">
        <w:rPr>
          <w:lang w:eastAsia="en-GB"/>
        </w:rPr>
        <w:t>543/2011</w:t>
      </w:r>
      <w:r w:rsidR="00305810" w:rsidRPr="005A45B8">
        <w:rPr>
          <w:lang w:eastAsia="en-GB"/>
        </w:rPr>
        <w:t xml:space="preserve"> </w:t>
      </w:r>
      <w:r w:rsidR="00305810" w:rsidRPr="005A45B8">
        <w:rPr>
          <w:noProof/>
        </w:rPr>
        <w:t>shall be proportionally reduced to the production already harvested, as established on the basis of the accounting and/or tax data of the producer organisations concerned.</w:t>
      </w:r>
    </w:p>
    <w:p w:rsidR="00CD1A83" w:rsidRPr="005A45B8" w:rsidRDefault="00A56BB2" w:rsidP="00CD1A83">
      <w:pPr>
        <w:pStyle w:val="Point0"/>
        <w:rPr>
          <w:noProof/>
        </w:rPr>
      </w:pPr>
      <w:r w:rsidRPr="00A56BB2">
        <w:rPr>
          <w:noProof/>
        </w:rPr>
        <w:t>3.</w:t>
      </w:r>
      <w:r w:rsidRPr="00A56BB2">
        <w:rPr>
          <w:noProof/>
        </w:rPr>
        <w:tab/>
      </w:r>
      <w:r w:rsidR="00771D8D" w:rsidRPr="00CD1A83">
        <w:t>T</w:t>
      </w:r>
      <w:r w:rsidR="00DC4DB2" w:rsidRPr="00CD1A83">
        <w:t xml:space="preserve">he Union contribution to </w:t>
      </w:r>
      <w:r w:rsidR="00771D8D" w:rsidRPr="00CD1A83">
        <w:t>the maximum</w:t>
      </w:r>
      <w:r w:rsidR="00DC4DB2" w:rsidRPr="00CD1A83">
        <w:t xml:space="preserve"> amounts </w:t>
      </w:r>
      <w:r w:rsidR="00771D8D" w:rsidRPr="00CD1A83">
        <w:t xml:space="preserve">set by Member States in accordance with </w:t>
      </w:r>
      <w:r w:rsidR="005F5DF5" w:rsidRPr="00CD1A83">
        <w:t xml:space="preserve">Article 80 of Regulation (EC) No 1580/2007 or with </w:t>
      </w:r>
      <w:r w:rsidR="00771D8D" w:rsidRPr="00CD1A83">
        <w:t xml:space="preserve">Article 79 of Implementing Regulation (EU) No </w:t>
      </w:r>
      <w:r w:rsidR="00771D8D" w:rsidRPr="00CD1A83">
        <w:rPr>
          <w:lang w:eastAsia="en-GB"/>
        </w:rPr>
        <w:t xml:space="preserve">543/2011 </w:t>
      </w:r>
      <w:r w:rsidR="00DC4DB2" w:rsidRPr="00CD1A83">
        <w:t xml:space="preserve">shall not exceed the amounts set out in Part </w:t>
      </w:r>
      <w:r w:rsidRPr="00CD1A83">
        <w:t>A</w:t>
      </w:r>
      <w:r w:rsidR="00DC4DB2" w:rsidRPr="00CD1A83">
        <w:t xml:space="preserve"> </w:t>
      </w:r>
      <w:r w:rsidRPr="00CD1A83">
        <w:t>of Annex I</w:t>
      </w:r>
      <w:r w:rsidR="00A22381" w:rsidRPr="00CD1A83">
        <w:t xml:space="preserve"> to this Regulation</w:t>
      </w:r>
      <w:r w:rsidR="00DC4DB2" w:rsidRPr="00CD1A83">
        <w:t>, in case of withdrawals for destinations, other than free distribution</w:t>
      </w:r>
      <w:r w:rsidR="00CD1A83" w:rsidRPr="00CD1A83">
        <w:t xml:space="preserve">. </w:t>
      </w:r>
      <w:r w:rsidR="00CD1A83">
        <w:t xml:space="preserve">Those amounts shall be doubled in case of free distribution. </w:t>
      </w:r>
    </w:p>
    <w:p w:rsidR="002556A9" w:rsidRDefault="00A56BB2" w:rsidP="002556A9">
      <w:pPr>
        <w:pStyle w:val="Point0"/>
      </w:pPr>
      <w:r>
        <w:t>4</w:t>
      </w:r>
      <w:r w:rsidR="00F00C95" w:rsidRPr="005A45B8">
        <w:t>.</w:t>
      </w:r>
      <w:r w:rsidR="00F00C95" w:rsidRPr="005A45B8">
        <w:tab/>
      </w:r>
      <w:r w:rsidR="00852161" w:rsidRPr="00CD1A83">
        <w:t xml:space="preserve">The ceiling of one-third of expenditure referred to in the second subparagraph of Article 103c(2) </w:t>
      </w:r>
      <w:r w:rsidR="00F16C80" w:rsidRPr="00CD1A83">
        <w:t>of Regulation (EC) No 1234/2007 and the 25</w:t>
      </w:r>
      <w:r w:rsidR="004D421A" w:rsidRPr="00CD1A83">
        <w:t xml:space="preserve"> </w:t>
      </w:r>
      <w:r w:rsidR="00F16C80" w:rsidRPr="00CD1A83">
        <w:t xml:space="preserve">% maximum ceiling for the increase of operational fund referred to in </w:t>
      </w:r>
      <w:r w:rsidR="00855636" w:rsidRPr="00CD1A83">
        <w:t xml:space="preserve">Article 67(1)(c) of Regulation (EC) No 1580/2007 and in </w:t>
      </w:r>
      <w:r w:rsidR="00F16C80" w:rsidRPr="00CD1A83">
        <w:t>Article 6</w:t>
      </w:r>
      <w:r w:rsidR="00B962F9" w:rsidRPr="00CD1A83">
        <w:t>6(3)(c)</w:t>
      </w:r>
      <w:r w:rsidR="00F16C80" w:rsidRPr="00CD1A83">
        <w:t xml:space="preserve"> of </w:t>
      </w:r>
      <w:r w:rsidR="00BB600C" w:rsidRPr="00CD1A83">
        <w:t xml:space="preserve">Implementing Regulation (EU) No </w:t>
      </w:r>
      <w:r w:rsidR="00BB600C" w:rsidRPr="00CD1A83">
        <w:rPr>
          <w:lang w:eastAsia="en-GB"/>
        </w:rPr>
        <w:t xml:space="preserve">543/2011 </w:t>
      </w:r>
      <w:r w:rsidR="00852161" w:rsidRPr="00CD1A83">
        <w:t>shall not apply in respect of e</w:t>
      </w:r>
      <w:r w:rsidR="00F00C95" w:rsidRPr="00CD1A83">
        <w:t>xpenditure incurred for measures referred to in par</w:t>
      </w:r>
      <w:r w:rsidR="00852161" w:rsidRPr="00CD1A83">
        <w:t xml:space="preserve">agraphs 1 and 2 </w:t>
      </w:r>
      <w:r w:rsidR="00455FD9" w:rsidRPr="00CD1A83">
        <w:t xml:space="preserve">of this Article </w:t>
      </w:r>
      <w:r w:rsidR="00852161" w:rsidRPr="00CD1A83">
        <w:t xml:space="preserve">during the period referred to in </w:t>
      </w:r>
      <w:r w:rsidR="00D82027">
        <w:t>Article 1(1)</w:t>
      </w:r>
      <w:r w:rsidR="00852161" w:rsidRPr="00CD1A83">
        <w:t>.</w:t>
      </w:r>
      <w:r w:rsidR="00852161" w:rsidRPr="005A45B8">
        <w:t xml:space="preserve"> </w:t>
      </w:r>
    </w:p>
    <w:p w:rsidR="001D774C" w:rsidRDefault="00DC4DB2" w:rsidP="000C3E91">
      <w:pPr>
        <w:pStyle w:val="Point0"/>
      </w:pPr>
      <w:r>
        <w:t>5</w:t>
      </w:r>
      <w:r w:rsidR="00F16C80" w:rsidRPr="000D7982">
        <w:t>.</w:t>
      </w:r>
      <w:r w:rsidR="00F16C80" w:rsidRPr="000D7982">
        <w:tab/>
      </w:r>
      <w:r w:rsidR="009C7395" w:rsidRPr="001D136E">
        <w:t xml:space="preserve">Additional Union support </w:t>
      </w:r>
      <w:r w:rsidR="009C7395" w:rsidRPr="001D136E">
        <w:rPr>
          <w:noProof/>
        </w:rPr>
        <w:t xml:space="preserve">shall be granted in </w:t>
      </w:r>
      <w:r w:rsidR="009C7395" w:rsidRPr="001D136E">
        <w:t>respect of withdrawal</w:t>
      </w:r>
      <w:r w:rsidR="00C2609D">
        <w:t>,</w:t>
      </w:r>
      <w:r w:rsidR="009C7395" w:rsidRPr="001D136E">
        <w:t xml:space="preserve"> non-harvesting </w:t>
      </w:r>
      <w:r w:rsidR="00C2609D">
        <w:t xml:space="preserve">and green harvesting </w:t>
      </w:r>
      <w:r w:rsidR="009C7395" w:rsidRPr="001D136E">
        <w:t>operations carried out in relation to the products and during the period referred to in Article 1(1).</w:t>
      </w:r>
      <w:r w:rsidR="00D82027">
        <w:t xml:space="preserve"> </w:t>
      </w:r>
      <w:r w:rsidR="001D774C">
        <w:t>Support for green harvesting shall only cover the products which are physically on the fields and that are effectively green harvested.</w:t>
      </w:r>
    </w:p>
    <w:p w:rsidR="006752C3" w:rsidRDefault="009C7395" w:rsidP="00E45983">
      <w:pPr>
        <w:pStyle w:val="Text1"/>
      </w:pPr>
      <w:r w:rsidRPr="001D136E">
        <w:t>The additional Union support shall not be included in the operational programmes of the producer organisations and not be taken into account for the purpose of the calculation of the ceilings of 4,1 % and 4,6 % referred to in Article 103d(2) of Regulation (EC) No 1234/2007</w:t>
      </w:r>
      <w:r w:rsidR="006752C3" w:rsidRPr="000D7982">
        <w:t>.</w:t>
      </w:r>
    </w:p>
    <w:p w:rsidR="00695F7D" w:rsidRDefault="00F16C80" w:rsidP="00E45983">
      <w:pPr>
        <w:pStyle w:val="Text1"/>
      </w:pPr>
      <w:r w:rsidRPr="000D7982">
        <w:t xml:space="preserve">The amounts of </w:t>
      </w:r>
      <w:r w:rsidR="00BC6834">
        <w:t xml:space="preserve">additional Union </w:t>
      </w:r>
      <w:r w:rsidRPr="000D7982">
        <w:t xml:space="preserve">support </w:t>
      </w:r>
      <w:r w:rsidR="00541495">
        <w:t xml:space="preserve">for withdrawals </w:t>
      </w:r>
      <w:r w:rsidRPr="000D7982">
        <w:t xml:space="preserve">are set out in </w:t>
      </w:r>
      <w:r w:rsidR="00AB0A18">
        <w:t xml:space="preserve">Part </w:t>
      </w:r>
      <w:r w:rsidR="00A56BB2">
        <w:t>B</w:t>
      </w:r>
      <w:r w:rsidR="00AB0A18">
        <w:t xml:space="preserve"> of </w:t>
      </w:r>
      <w:r w:rsidR="00391303" w:rsidRPr="000D7982">
        <w:t>Annex</w:t>
      </w:r>
      <w:r w:rsidR="00A56BB2">
        <w:t xml:space="preserve"> I</w:t>
      </w:r>
      <w:r w:rsidR="006A6771">
        <w:t xml:space="preserve"> to this Regulation</w:t>
      </w:r>
      <w:r w:rsidR="00391303" w:rsidRPr="000D7982">
        <w:t>.</w:t>
      </w:r>
    </w:p>
    <w:p w:rsidR="00D11E3A" w:rsidRPr="00D11E3A" w:rsidRDefault="00D11E3A" w:rsidP="00E45983">
      <w:pPr>
        <w:pStyle w:val="Text1"/>
      </w:pPr>
      <w:r w:rsidRPr="00AC112B">
        <w:t>In case of non-harvesting</w:t>
      </w:r>
      <w:r w:rsidR="00835D3A">
        <w:t xml:space="preserve"> and green harvesting</w:t>
      </w:r>
      <w:r w:rsidRPr="00AC112B">
        <w:t xml:space="preserve">, </w:t>
      </w:r>
      <w:r w:rsidR="00541495" w:rsidRPr="00AC112B">
        <w:t xml:space="preserve">Member States shall set the amounts of additional Union support per hectare </w:t>
      </w:r>
      <w:r w:rsidR="00DC6FC5" w:rsidRPr="00AC112B">
        <w:t>at a level to cover not more than 90</w:t>
      </w:r>
      <w:r w:rsidR="00461AA0">
        <w:t xml:space="preserve"> </w:t>
      </w:r>
      <w:r w:rsidR="00DC6FC5" w:rsidRPr="00AC112B">
        <w:t>% of the amounts fixed for withdrawals</w:t>
      </w:r>
      <w:r w:rsidR="00541495" w:rsidRPr="00AC112B">
        <w:t xml:space="preserve"> </w:t>
      </w:r>
      <w:r w:rsidR="00DC6FC5" w:rsidRPr="00AC112B">
        <w:t>in Part B of Annex I to this Regulation.</w:t>
      </w:r>
      <w:r w:rsidR="00835D3A">
        <w:t xml:space="preserve"> </w:t>
      </w:r>
      <w:r w:rsidR="001D3207" w:rsidRPr="00175933">
        <w:t xml:space="preserve">The additional Union support shall be granted </w:t>
      </w:r>
      <w:r w:rsidR="001D3207">
        <w:t>even if</w:t>
      </w:r>
      <w:r w:rsidR="001D3207" w:rsidRPr="00175933">
        <w:t xml:space="preserve"> producer organisations do not </w:t>
      </w:r>
      <w:r w:rsidR="001D3207">
        <w:t xml:space="preserve">provide for </w:t>
      </w:r>
      <w:r w:rsidR="001D3207" w:rsidRPr="00175933">
        <w:t>those operations in the framework of their operational programmes.</w:t>
      </w:r>
    </w:p>
    <w:p w:rsidR="00541495" w:rsidRPr="00632045" w:rsidRDefault="00632045" w:rsidP="00E45983">
      <w:pPr>
        <w:pStyle w:val="Point0"/>
      </w:pPr>
      <w:r w:rsidRPr="00A232CB">
        <w:t>6.</w:t>
      </w:r>
      <w:r w:rsidRPr="00A232CB">
        <w:tab/>
        <w:t xml:space="preserve">Expenditure incurred </w:t>
      </w:r>
      <w:r w:rsidR="00F31B87" w:rsidRPr="00A232CB">
        <w:t>in accordance with this Article</w:t>
      </w:r>
      <w:r w:rsidRPr="00A232CB">
        <w:t xml:space="preserve"> shall form part of the operational fund of the producer organisation</w:t>
      </w:r>
      <w:r w:rsidR="00F31B87" w:rsidRPr="00A232CB">
        <w:t>s</w:t>
      </w:r>
      <w:r w:rsidRPr="003F011D">
        <w:t>.</w:t>
      </w:r>
      <w:r w:rsidR="00C84C25" w:rsidRPr="003F011D">
        <w:t xml:space="preserve"> Article</w:t>
      </w:r>
      <w:r w:rsidR="00AF72D5" w:rsidRPr="003F011D">
        <w:t>s</w:t>
      </w:r>
      <w:r w:rsidR="00C84C25" w:rsidRPr="003F011D">
        <w:t xml:space="preserve"> 103b(2) </w:t>
      </w:r>
      <w:r w:rsidR="00AF72D5" w:rsidRPr="003F011D">
        <w:rPr>
          <w:lang w:eastAsia="en-GB"/>
        </w:rPr>
        <w:t>and 103d(1)</w:t>
      </w:r>
      <w:r w:rsidR="00AF72D5" w:rsidRPr="00E91063">
        <w:rPr>
          <w:lang w:eastAsia="en-GB"/>
        </w:rPr>
        <w:t xml:space="preserve"> </w:t>
      </w:r>
      <w:r w:rsidR="00C84C25" w:rsidRPr="001D136E">
        <w:t>of Regulation (EC) No 1234/2007 shall not apply for the additional Union support referred to in paragraph 5 of this Article</w:t>
      </w:r>
      <w:r w:rsidR="00C84C25">
        <w:t>.</w:t>
      </w:r>
    </w:p>
    <w:p w:rsidR="00EF3445" w:rsidRPr="00F62F54" w:rsidRDefault="00EF3445" w:rsidP="00EF3445">
      <w:pPr>
        <w:pStyle w:val="Titrearticle"/>
      </w:pPr>
      <w:bookmarkStart w:id="1" w:name="v1g1d1w"/>
      <w:bookmarkEnd w:id="1"/>
      <w:r w:rsidRPr="00F62F54">
        <w:t xml:space="preserve">Article </w:t>
      </w:r>
      <w:r w:rsidR="00CB16C7">
        <w:t>5</w:t>
      </w:r>
    </w:p>
    <w:p w:rsidR="00EF3445" w:rsidRDefault="00EF3445" w:rsidP="00EF3445">
      <w:pPr>
        <w:jc w:val="center"/>
        <w:rPr>
          <w:bCs/>
          <w:i/>
        </w:rPr>
      </w:pPr>
      <w:r>
        <w:rPr>
          <w:bCs/>
          <w:i/>
        </w:rPr>
        <w:t>Producer non members of producer organisations</w:t>
      </w:r>
    </w:p>
    <w:p w:rsidR="0005534A" w:rsidRPr="00110E18" w:rsidRDefault="00245184" w:rsidP="00E45983">
      <w:pPr>
        <w:pStyle w:val="Point0"/>
      </w:pPr>
      <w:r>
        <w:t>1.</w:t>
      </w:r>
      <w:r>
        <w:tab/>
      </w:r>
      <w:r w:rsidR="00E60125" w:rsidRPr="001D136E">
        <w:t xml:space="preserve">Union support </w:t>
      </w:r>
      <w:r w:rsidR="00E60125" w:rsidRPr="001D136E">
        <w:rPr>
          <w:noProof/>
        </w:rPr>
        <w:t>shall be granted to producers of fruit and vegetables who are not members of a recognised producer organisation</w:t>
      </w:r>
      <w:r w:rsidR="003F011D">
        <w:rPr>
          <w:noProof/>
        </w:rPr>
        <w:t xml:space="preserve"> (hereinafter referred to as "producer non members")</w:t>
      </w:r>
      <w:r w:rsidR="00E60125" w:rsidRPr="001D136E">
        <w:rPr>
          <w:noProof/>
        </w:rPr>
        <w:t xml:space="preserve"> to carry out withdrawal</w:t>
      </w:r>
      <w:r w:rsidR="00C2609D">
        <w:rPr>
          <w:noProof/>
        </w:rPr>
        <w:t>,</w:t>
      </w:r>
      <w:r w:rsidR="00E60125" w:rsidRPr="001D136E">
        <w:rPr>
          <w:noProof/>
        </w:rPr>
        <w:t xml:space="preserve"> non-harvesting </w:t>
      </w:r>
      <w:r w:rsidR="00C2609D">
        <w:rPr>
          <w:noProof/>
        </w:rPr>
        <w:t xml:space="preserve">and green harvesting </w:t>
      </w:r>
      <w:r w:rsidR="00E60125" w:rsidRPr="001D136E">
        <w:rPr>
          <w:noProof/>
        </w:rPr>
        <w:t xml:space="preserve">operations in respect of the products and </w:t>
      </w:r>
      <w:r w:rsidR="00E60125" w:rsidRPr="001D136E">
        <w:t>during the period referred to Article 1(1)</w:t>
      </w:r>
      <w:r w:rsidR="0005534A">
        <w:t>.</w:t>
      </w:r>
      <w:r w:rsidR="00AF72D5" w:rsidRPr="00AF72D5">
        <w:rPr>
          <w:noProof/>
        </w:rPr>
        <w:t xml:space="preserve"> </w:t>
      </w:r>
      <w:r w:rsidR="00AF72D5" w:rsidRPr="00DF25CF">
        <w:rPr>
          <w:noProof/>
        </w:rPr>
        <w:t xml:space="preserve">Where a producer organisation has been suspended in accordance with Article 116(2) of Regulation (EC) No 1580/2007 </w:t>
      </w:r>
      <w:r w:rsidR="003F011D" w:rsidRPr="00DF25CF">
        <w:rPr>
          <w:noProof/>
        </w:rPr>
        <w:t>or</w:t>
      </w:r>
      <w:r w:rsidR="00AF72D5" w:rsidRPr="00DF25CF">
        <w:rPr>
          <w:noProof/>
        </w:rPr>
        <w:t xml:space="preserve"> Article 114(2) of Implementing Regulation (EU) No 543/2011, its members shall be deemed to be a producer non members for the purpose of this Regulation.</w:t>
      </w:r>
    </w:p>
    <w:p w:rsidR="00472309" w:rsidRDefault="00472309" w:rsidP="00E45983">
      <w:pPr>
        <w:pStyle w:val="Point0"/>
      </w:pPr>
      <w:r w:rsidRPr="0005534A">
        <w:t>2.</w:t>
      </w:r>
      <w:r w:rsidRPr="0005534A">
        <w:tab/>
      </w:r>
      <w:r w:rsidR="00E60125" w:rsidRPr="001D136E">
        <w:t>In case of withdrawals, producer non members shall sign a contract with a recognised producer organisation</w:t>
      </w:r>
      <w:r w:rsidRPr="0005534A">
        <w:t>.</w:t>
      </w:r>
    </w:p>
    <w:p w:rsidR="00472309" w:rsidRPr="00472309" w:rsidRDefault="00124A45" w:rsidP="00E45983">
      <w:pPr>
        <w:pStyle w:val="Text1"/>
      </w:pPr>
      <w:r>
        <w:t xml:space="preserve">The Union support </w:t>
      </w:r>
      <w:r w:rsidR="00D55531">
        <w:t xml:space="preserve">shall be paid to such </w:t>
      </w:r>
      <w:r w:rsidR="00E13DBA">
        <w:t xml:space="preserve">producers </w:t>
      </w:r>
      <w:r w:rsidR="00D55531">
        <w:t xml:space="preserve">by the producer organisation with which they signed </w:t>
      </w:r>
      <w:r w:rsidR="00F544BE">
        <w:t>such a</w:t>
      </w:r>
      <w:r w:rsidR="00D55531">
        <w:t xml:space="preserve"> contract.</w:t>
      </w:r>
      <w:r w:rsidR="00E60125" w:rsidRPr="001D136E">
        <w:t xml:space="preserve"> The second and the fifth subparagraphs of Article 4(5) and Article 4(6) shall apply </w:t>
      </w:r>
      <w:r w:rsidR="00E60125" w:rsidRPr="001D136E">
        <w:rPr>
          <w:i/>
        </w:rPr>
        <w:t>mutatis mutandis</w:t>
      </w:r>
      <w:r w:rsidR="00E60125">
        <w:rPr>
          <w:i/>
        </w:rPr>
        <w:t>.</w:t>
      </w:r>
    </w:p>
    <w:p w:rsidR="007D1900" w:rsidRDefault="00472309" w:rsidP="00E45983">
      <w:pPr>
        <w:pStyle w:val="Point0"/>
      </w:pPr>
      <w:r>
        <w:t>3</w:t>
      </w:r>
      <w:r w:rsidR="00245184">
        <w:t>.</w:t>
      </w:r>
      <w:r w:rsidR="00245184">
        <w:tab/>
      </w:r>
      <w:r w:rsidR="007D1900" w:rsidRPr="004D2430">
        <w:t xml:space="preserve">The amounts of support </w:t>
      </w:r>
      <w:r w:rsidR="00E60125" w:rsidRPr="001D136E">
        <w:t xml:space="preserve">to be granted pursuant to paragraph 1 in the situation </w:t>
      </w:r>
      <w:r w:rsidR="007D1900" w:rsidRPr="004D2430">
        <w:t xml:space="preserve">referred to in paragraph </w:t>
      </w:r>
      <w:r>
        <w:t>2</w:t>
      </w:r>
      <w:r w:rsidRPr="004D2430">
        <w:t xml:space="preserve"> </w:t>
      </w:r>
      <w:r w:rsidR="007D1900" w:rsidRPr="004D2430">
        <w:t>shall be the amounts set out in Part B of Annex I, less the amounts that correspond to the real costs incurred by the producer organisation for withdrawing the respective products, which the producer organisation shall retain. Evidence of those costs shall be provided by means of invoices. Producer organisations shall accept all reasonable requests from producers that are not a member of a producer organisation for the purposes of this Regulation.</w:t>
      </w:r>
    </w:p>
    <w:p w:rsidR="0012576D" w:rsidRDefault="0012576D" w:rsidP="00E45983">
      <w:pPr>
        <w:pStyle w:val="Point0"/>
      </w:pPr>
      <w:r>
        <w:t>4.</w:t>
      </w:r>
      <w:r>
        <w:tab/>
      </w:r>
      <w:r w:rsidR="00E60125" w:rsidRPr="001D136E">
        <w:t xml:space="preserve">For duly justified reasons, such as the limited degree of organisation of the producers in the Member State concerned, and in a non-discriminatory way, Member States may authorise that a producer non member makes a notification to the competent authority of the Member State, instead of signing the contract referred to in paragraph 2. For such notification, Article 79 of Regulation (EC) No 1580/2007 or Article 78 of Implementing Regulation (EU) No </w:t>
      </w:r>
      <w:r w:rsidR="00E60125" w:rsidRPr="001D136E">
        <w:rPr>
          <w:lang w:eastAsia="en-GB"/>
        </w:rPr>
        <w:t xml:space="preserve">543/2011 shall apply </w:t>
      </w:r>
      <w:r w:rsidR="00E60125" w:rsidRPr="001D136E">
        <w:rPr>
          <w:i/>
          <w:lang w:eastAsia="en-GB"/>
        </w:rPr>
        <w:t>mutatis mutandis</w:t>
      </w:r>
      <w:r>
        <w:t>.</w:t>
      </w:r>
    </w:p>
    <w:p w:rsidR="0012576D" w:rsidRPr="00CD0495" w:rsidRDefault="0012576D" w:rsidP="00E45983">
      <w:pPr>
        <w:pStyle w:val="Text1"/>
      </w:pPr>
      <w:r>
        <w:t xml:space="preserve">In those cases, the competent authority of the Member State shall pay the Union support directly to the producer, in accordance with its own legislation. The </w:t>
      </w:r>
      <w:r w:rsidRPr="004D2430">
        <w:t xml:space="preserve">amounts of </w:t>
      </w:r>
      <w:r w:rsidR="00E60125">
        <w:t xml:space="preserve">the </w:t>
      </w:r>
      <w:r w:rsidRPr="004D2430">
        <w:t>support shall be the amounts set out in Part B of Annex I</w:t>
      </w:r>
      <w:r>
        <w:t>.</w:t>
      </w:r>
    </w:p>
    <w:p w:rsidR="00812ECB" w:rsidRDefault="0012576D" w:rsidP="00DE6798">
      <w:pPr>
        <w:pStyle w:val="Point0"/>
        <w:rPr>
          <w:lang w:eastAsia="en-GB"/>
        </w:rPr>
      </w:pPr>
      <w:r w:rsidRPr="0062209D">
        <w:t>5.</w:t>
      </w:r>
      <w:r w:rsidRPr="0062209D">
        <w:tab/>
      </w:r>
      <w:r w:rsidR="00E60125" w:rsidRPr="001D136E">
        <w:t xml:space="preserve">In case of non-harvesting </w:t>
      </w:r>
      <w:r w:rsidR="00C2609D">
        <w:t xml:space="preserve">and green harvesting </w:t>
      </w:r>
      <w:r w:rsidR="00E60125" w:rsidRPr="001D136E">
        <w:t xml:space="preserve">operations, producer non members shall make the appropriate notification to the competent authority of the Member State in accordance with the detailed provisions adopted by the Member State pursuant to Article 86(1)(a) of Regulation (EC) No 1580/2007 or to Article 85(1)(a) of Implementing Regulation (EU) No </w:t>
      </w:r>
      <w:r w:rsidR="00E60125" w:rsidRPr="001D136E">
        <w:rPr>
          <w:lang w:eastAsia="en-GB"/>
        </w:rPr>
        <w:t>543/2011</w:t>
      </w:r>
      <w:r w:rsidR="00E60125">
        <w:rPr>
          <w:lang w:eastAsia="en-GB"/>
        </w:rPr>
        <w:t>.</w:t>
      </w:r>
    </w:p>
    <w:p w:rsidR="00E60125" w:rsidRPr="00DE6798" w:rsidRDefault="00E60125" w:rsidP="00DE6798">
      <w:pPr>
        <w:pStyle w:val="Text1"/>
      </w:pPr>
      <w:r w:rsidRPr="00DE6798">
        <w:t xml:space="preserve">The amounts of Union support for non-harvesting </w:t>
      </w:r>
      <w:r w:rsidR="00C2609D">
        <w:t xml:space="preserve">and green harvesting </w:t>
      </w:r>
      <w:r w:rsidRPr="00DE6798">
        <w:t>operations shall be the amounts set pursuant to the fourth subparagraph of Article 4(5).</w:t>
      </w:r>
    </w:p>
    <w:p w:rsidR="00213EEF" w:rsidRDefault="00213EEF" w:rsidP="00E45983">
      <w:pPr>
        <w:pStyle w:val="Titrearticle"/>
      </w:pPr>
      <w:r w:rsidRPr="00E45983">
        <w:t xml:space="preserve">Article </w:t>
      </w:r>
      <w:r w:rsidR="00996A6A" w:rsidRPr="00E45983">
        <w:t>6</w:t>
      </w:r>
    </w:p>
    <w:p w:rsidR="00213EEF" w:rsidRPr="00213EEF" w:rsidRDefault="00213EEF" w:rsidP="0009762D">
      <w:pPr>
        <w:pStyle w:val="NormalCentered"/>
      </w:pPr>
      <w:r w:rsidRPr="00E45983">
        <w:rPr>
          <w:i/>
        </w:rPr>
        <w:t>Checks on withdrawal</w:t>
      </w:r>
      <w:r w:rsidR="00C2609D">
        <w:rPr>
          <w:i/>
        </w:rPr>
        <w:t>,</w:t>
      </w:r>
      <w:r w:rsidRPr="00E45983">
        <w:rPr>
          <w:i/>
        </w:rPr>
        <w:t xml:space="preserve"> non-harvesting</w:t>
      </w:r>
      <w:r w:rsidR="00C2609D">
        <w:rPr>
          <w:i/>
        </w:rPr>
        <w:t xml:space="preserve"> and green harvesting</w:t>
      </w:r>
      <w:r w:rsidRPr="00E45983">
        <w:rPr>
          <w:i/>
        </w:rPr>
        <w:t xml:space="preserve"> operations</w:t>
      </w:r>
    </w:p>
    <w:p w:rsidR="00213EEF" w:rsidRDefault="00213EEF" w:rsidP="0009762D">
      <w:pPr>
        <w:pStyle w:val="Point0"/>
      </w:pPr>
      <w:r w:rsidRPr="00213EEF">
        <w:t>1.</w:t>
      </w:r>
      <w:r w:rsidRPr="00213EEF">
        <w:tab/>
      </w:r>
      <w:r w:rsidR="00F31B87">
        <w:t>The w</w:t>
      </w:r>
      <w:r w:rsidRPr="00213EEF">
        <w:t>ithdrawal operations referred to in Articles 4 and 5 shall be subject to first-level checks in accordance with Article 110 of Regulation (EC) No 1580/2007</w:t>
      </w:r>
      <w:r w:rsidR="00BC5AAB">
        <w:t xml:space="preserve"> and Article 108 of</w:t>
      </w:r>
      <w:r w:rsidR="00BC5AAB" w:rsidRPr="002E6439">
        <w:t xml:space="preserve"> </w:t>
      </w:r>
      <w:r w:rsidR="00BC5AAB" w:rsidRPr="00E8514F">
        <w:t xml:space="preserve">Implementing Regulation (EU) No </w:t>
      </w:r>
      <w:r w:rsidR="00BC5AAB" w:rsidRPr="00E8514F">
        <w:rPr>
          <w:lang w:eastAsia="en-GB"/>
        </w:rPr>
        <w:t>543/2011</w:t>
      </w:r>
      <w:r w:rsidRPr="00213EEF">
        <w:t>. However, those checks shall be limited to 10 % of the quantity of products withdrawn from the market.</w:t>
      </w:r>
    </w:p>
    <w:p w:rsidR="00213EEF" w:rsidRPr="0009762D" w:rsidRDefault="00E60125" w:rsidP="0009762D">
      <w:pPr>
        <w:pStyle w:val="Text1"/>
      </w:pPr>
      <w:r w:rsidRPr="001D136E">
        <w:t>For withdrawal operations referred to in Article 5(4), the first-level checks shall cover 100% of the quantity of products withdrawn</w:t>
      </w:r>
      <w:r w:rsidR="00213EEF" w:rsidRPr="0009762D">
        <w:t>.</w:t>
      </w:r>
    </w:p>
    <w:p w:rsidR="00213EEF" w:rsidRDefault="00213EEF" w:rsidP="0009762D">
      <w:pPr>
        <w:pStyle w:val="Point0"/>
      </w:pPr>
      <w:r w:rsidRPr="00213EEF">
        <w:t>2.</w:t>
      </w:r>
      <w:r w:rsidRPr="00213EEF">
        <w:tab/>
        <w:t xml:space="preserve">Non-harvesting </w:t>
      </w:r>
      <w:r w:rsidR="00C2609D">
        <w:t xml:space="preserve">and green harvesting </w:t>
      </w:r>
      <w:r w:rsidRPr="00213EEF">
        <w:t>operations as referred to in Articles 4 and 5 shall be subject to the checks and conditions provided for in Article 112 of Regulation (EC) No 1580/2007</w:t>
      </w:r>
      <w:r w:rsidR="00BC5AAB">
        <w:t xml:space="preserve"> and Article 110 of</w:t>
      </w:r>
      <w:r w:rsidR="00BC5AAB" w:rsidRPr="002E6439">
        <w:t xml:space="preserve"> </w:t>
      </w:r>
      <w:r w:rsidR="00BC5AAB" w:rsidRPr="00E8514F">
        <w:t>Implementing Regulation (EU) No 543/2011</w:t>
      </w:r>
      <w:r w:rsidRPr="00213EEF">
        <w:t xml:space="preserve">, except as regards the requirement that no partial harvest has taken place. Checks shall be limited to 10 % of the producing areas referred to in Article </w:t>
      </w:r>
      <w:r>
        <w:t>4</w:t>
      </w:r>
      <w:r w:rsidRPr="00213EEF">
        <w:t>(2).</w:t>
      </w:r>
    </w:p>
    <w:p w:rsidR="00213EEF" w:rsidRPr="0009762D" w:rsidRDefault="00E60125" w:rsidP="0009762D">
      <w:pPr>
        <w:pStyle w:val="Text1"/>
      </w:pPr>
      <w:r w:rsidRPr="001D136E">
        <w:t xml:space="preserve">For non-harvesting </w:t>
      </w:r>
      <w:r w:rsidR="00C2609D">
        <w:t xml:space="preserve">and green harvesting </w:t>
      </w:r>
      <w:r w:rsidRPr="001D136E">
        <w:t>operations referred to in Article 5(5), the checks shall cover 100% of the producing areas.</w:t>
      </w:r>
    </w:p>
    <w:p w:rsidR="00EB519C" w:rsidRDefault="00EB519C" w:rsidP="00EB519C">
      <w:pPr>
        <w:pStyle w:val="Titrearticle"/>
      </w:pPr>
      <w:r w:rsidRPr="00A56BB2">
        <w:t>Article</w:t>
      </w:r>
      <w:r w:rsidR="00150B3B">
        <w:t xml:space="preserve"> </w:t>
      </w:r>
      <w:r w:rsidR="00996A6A">
        <w:t>7</w:t>
      </w:r>
    </w:p>
    <w:p w:rsidR="00CD1A83" w:rsidRPr="00E2064F" w:rsidRDefault="00CB16C7" w:rsidP="00E2064F">
      <w:pPr>
        <w:pStyle w:val="NormalCentered"/>
        <w:rPr>
          <w:i/>
        </w:rPr>
      </w:pPr>
      <w:r w:rsidRPr="00E2064F">
        <w:rPr>
          <w:i/>
        </w:rPr>
        <w:t>Notification</w:t>
      </w:r>
      <w:r w:rsidR="00CD1A83" w:rsidRPr="00E2064F">
        <w:rPr>
          <w:i/>
        </w:rPr>
        <w:t>s</w:t>
      </w:r>
    </w:p>
    <w:p w:rsidR="002423E5" w:rsidRPr="006E086D" w:rsidRDefault="00CB16C7" w:rsidP="0009762D">
      <w:pPr>
        <w:pStyle w:val="Point0"/>
      </w:pPr>
      <w:r w:rsidRPr="006E086D">
        <w:t>1</w:t>
      </w:r>
      <w:r w:rsidR="001C685A" w:rsidRPr="006E086D">
        <w:t>.</w:t>
      </w:r>
      <w:r w:rsidR="001C685A" w:rsidRPr="006E086D">
        <w:tab/>
        <w:t xml:space="preserve">Member States shall </w:t>
      </w:r>
      <w:r w:rsidR="00865F65" w:rsidRPr="006E086D">
        <w:t>notify</w:t>
      </w:r>
      <w:r w:rsidR="004C3EBA" w:rsidRPr="006E086D">
        <w:t xml:space="preserve"> the Commission </w:t>
      </w:r>
      <w:r w:rsidR="002E24F4" w:rsidRPr="006E086D">
        <w:t xml:space="preserve">every Wednesday (before noon, Brussels time) </w:t>
      </w:r>
      <w:r w:rsidR="004C3EBA" w:rsidRPr="006E086D">
        <w:t xml:space="preserve">from the day of entry into force of this Regulation </w:t>
      </w:r>
      <w:r w:rsidR="00E428CD" w:rsidRPr="006E086D">
        <w:t xml:space="preserve">of </w:t>
      </w:r>
      <w:r w:rsidR="001C685A" w:rsidRPr="006E086D">
        <w:t xml:space="preserve">the notifications received </w:t>
      </w:r>
      <w:r w:rsidR="006E086D" w:rsidRPr="00A216F2">
        <w:t xml:space="preserve">during the previous </w:t>
      </w:r>
      <w:r w:rsidR="00A3775A">
        <w:t>week</w:t>
      </w:r>
      <w:r w:rsidR="000C2A0A">
        <w:t xml:space="preserve"> </w:t>
      </w:r>
      <w:r w:rsidR="001C685A" w:rsidRPr="00A216F2">
        <w:t>from the producer organisations</w:t>
      </w:r>
      <w:r w:rsidR="00D46F42" w:rsidRPr="00A216F2">
        <w:t xml:space="preserve"> </w:t>
      </w:r>
      <w:r w:rsidR="00950CD6" w:rsidRPr="00A216F2">
        <w:t>and from producer non</w:t>
      </w:r>
      <w:r w:rsidR="00950CD6" w:rsidRPr="006E086D">
        <w:t xml:space="preserve"> members</w:t>
      </w:r>
      <w:r w:rsidR="006E086D">
        <w:t>.</w:t>
      </w:r>
      <w:r w:rsidR="007A7449" w:rsidRPr="006E086D">
        <w:t xml:space="preserve"> Th</w:t>
      </w:r>
      <w:r w:rsidR="00F31B87">
        <w:t>o</w:t>
      </w:r>
      <w:r w:rsidR="007A7449" w:rsidRPr="006E086D">
        <w:t>se notifications shall</w:t>
      </w:r>
      <w:r w:rsidR="002E24F4" w:rsidRPr="006E086D">
        <w:t xml:space="preserve"> </w:t>
      </w:r>
      <w:r w:rsidR="002A362E" w:rsidRPr="006E086D">
        <w:t>relat</w:t>
      </w:r>
      <w:r w:rsidR="007A7449" w:rsidRPr="006E086D">
        <w:t>e</w:t>
      </w:r>
      <w:r w:rsidR="002A362E" w:rsidRPr="006E086D">
        <w:t xml:space="preserve"> to the operations</w:t>
      </w:r>
      <w:r w:rsidR="00F31B87">
        <w:t xml:space="preserve"> </w:t>
      </w:r>
      <w:r w:rsidR="00950CD6" w:rsidRPr="006E086D">
        <w:t>to be undertaken</w:t>
      </w:r>
      <w:r w:rsidR="00F31B87">
        <w:t xml:space="preserve"> for the purpose</w:t>
      </w:r>
      <w:r w:rsidR="00E60125">
        <w:t>s</w:t>
      </w:r>
      <w:r w:rsidR="00F31B87">
        <w:t xml:space="preserve"> of </w:t>
      </w:r>
      <w:r w:rsidR="00E60125">
        <w:t>this</w:t>
      </w:r>
      <w:r w:rsidR="00F31B87">
        <w:t xml:space="preserve"> Regulation</w:t>
      </w:r>
      <w:r w:rsidR="001C685A" w:rsidRPr="006E086D">
        <w:t>,</w:t>
      </w:r>
      <w:r w:rsidR="009755B7" w:rsidRPr="006E086D">
        <w:t xml:space="preserve"> </w:t>
      </w:r>
      <w:r w:rsidR="001C685A" w:rsidRPr="006E086D">
        <w:t>in terms of quantities</w:t>
      </w:r>
      <w:r w:rsidR="00643444" w:rsidRPr="006E086D">
        <w:t>, surface</w:t>
      </w:r>
      <w:r w:rsidR="001C685A" w:rsidRPr="006E086D">
        <w:t xml:space="preserve"> and maximum Union expenditure for each of the products</w:t>
      </w:r>
      <w:r w:rsidR="00D37084" w:rsidRPr="006E086D">
        <w:t xml:space="preserve"> referred to in Article 1</w:t>
      </w:r>
      <w:r w:rsidR="002423E5" w:rsidRPr="006E086D">
        <w:t>(1)</w:t>
      </w:r>
      <w:r w:rsidR="001C685A" w:rsidRPr="006E086D">
        <w:t>.</w:t>
      </w:r>
    </w:p>
    <w:p w:rsidR="002423E5" w:rsidRPr="006E086D" w:rsidRDefault="00700DE1" w:rsidP="0009762D">
      <w:pPr>
        <w:pStyle w:val="Text1"/>
      </w:pPr>
      <w:r w:rsidRPr="001D136E">
        <w:t>Member States shall use the templates set out in Annex II</w:t>
      </w:r>
      <w:r w:rsidR="002423E5" w:rsidRPr="006E086D">
        <w:t>.</w:t>
      </w:r>
    </w:p>
    <w:p w:rsidR="00150B3B" w:rsidRPr="006E086D" w:rsidRDefault="00700DE1" w:rsidP="0009762D">
      <w:pPr>
        <w:pStyle w:val="Text1"/>
      </w:pPr>
      <w:r w:rsidRPr="001D136E">
        <w:t>Member States</w:t>
      </w:r>
      <w:r w:rsidR="004901B2">
        <w:t xml:space="preserve"> </w:t>
      </w:r>
      <w:r w:rsidRPr="001D136E">
        <w:t xml:space="preserve">shall notify the Commission </w:t>
      </w:r>
      <w:r w:rsidR="004901B2">
        <w:t>on 22 June 2011</w:t>
      </w:r>
      <w:r w:rsidR="004901B2" w:rsidRPr="001D136E">
        <w:t xml:space="preserve"> </w:t>
      </w:r>
      <w:r w:rsidRPr="001D136E">
        <w:t>of the information referred to in the first subparagraph, using the templates set out in Annex II, in relation to withdrawal</w:t>
      </w:r>
      <w:r w:rsidR="00C2609D">
        <w:t>,</w:t>
      </w:r>
      <w:r w:rsidRPr="001D136E">
        <w:t xml:space="preserve"> non-harvesting </w:t>
      </w:r>
      <w:r w:rsidR="00C2609D">
        <w:t xml:space="preserve">or green harvesting </w:t>
      </w:r>
      <w:r w:rsidRPr="001D136E">
        <w:t>operations undertaken between 26 May 2011 and the date of the entry into force of this Regulation.</w:t>
      </w:r>
    </w:p>
    <w:p w:rsidR="007A7449" w:rsidRPr="00A216F2" w:rsidRDefault="007A7449" w:rsidP="0009762D">
      <w:pPr>
        <w:pStyle w:val="Point0"/>
      </w:pPr>
      <w:r w:rsidRPr="006E086D">
        <w:t>2.</w:t>
      </w:r>
      <w:r w:rsidRPr="006E086D">
        <w:tab/>
        <w:t xml:space="preserve">Member States shall notify the Commission by </w:t>
      </w:r>
      <w:r w:rsidR="000D2EA4">
        <w:t>18</w:t>
      </w:r>
      <w:r w:rsidR="000D2EA4" w:rsidRPr="006E086D">
        <w:t xml:space="preserve"> </w:t>
      </w:r>
      <w:r w:rsidRPr="006E086D">
        <w:t xml:space="preserve">of July 2011 </w:t>
      </w:r>
      <w:r w:rsidR="00F31B87">
        <w:t xml:space="preserve">of the </w:t>
      </w:r>
      <w:r w:rsidRPr="006E086D">
        <w:t xml:space="preserve">information on the total quantities withdrawn, the total surface on which non-harvesting </w:t>
      </w:r>
      <w:r w:rsidR="00C2609D">
        <w:t xml:space="preserve">or green harvesting </w:t>
      </w:r>
      <w:r w:rsidRPr="006E086D">
        <w:t>operations have been undertaken and</w:t>
      </w:r>
      <w:r w:rsidR="00CB7FBC" w:rsidRPr="006E086D">
        <w:t xml:space="preserve"> the </w:t>
      </w:r>
      <w:r w:rsidR="006E086D" w:rsidRPr="00A216F2">
        <w:t xml:space="preserve">requests for </w:t>
      </w:r>
      <w:r w:rsidR="00CB7FBC" w:rsidRPr="00A216F2">
        <w:t xml:space="preserve">total Union </w:t>
      </w:r>
      <w:r w:rsidR="006E086D" w:rsidRPr="00A216F2">
        <w:t>support</w:t>
      </w:r>
      <w:r w:rsidR="00CB7FBC" w:rsidRPr="00A216F2">
        <w:t xml:space="preserve"> </w:t>
      </w:r>
      <w:r w:rsidR="00A216F2" w:rsidRPr="00A216F2">
        <w:t>for the c</w:t>
      </w:r>
      <w:r w:rsidR="00700DE1">
        <w:t>orresponding withdrawal</w:t>
      </w:r>
      <w:r w:rsidR="00A216F2" w:rsidRPr="00A216F2">
        <w:t xml:space="preserve"> and non-harvesting operations.</w:t>
      </w:r>
    </w:p>
    <w:p w:rsidR="006E086D" w:rsidRDefault="006E086D" w:rsidP="0009762D">
      <w:pPr>
        <w:pStyle w:val="Text1"/>
      </w:pPr>
      <w:r w:rsidRPr="00A216F2">
        <w:t xml:space="preserve">Member States shall use the template </w:t>
      </w:r>
      <w:r w:rsidR="00700DE1">
        <w:t>set out</w:t>
      </w:r>
      <w:r w:rsidRPr="00A216F2">
        <w:t xml:space="preserve"> for in Annex III.</w:t>
      </w:r>
    </w:p>
    <w:p w:rsidR="000D3B80" w:rsidRDefault="00D46F42" w:rsidP="0009762D">
      <w:pPr>
        <w:pStyle w:val="Text1"/>
      </w:pPr>
      <w:r w:rsidRPr="006E086D">
        <w:t>Union support shall not be granted for withdrawal</w:t>
      </w:r>
      <w:r w:rsidR="00C2609D">
        <w:t>,</w:t>
      </w:r>
      <w:r w:rsidRPr="006E086D">
        <w:t xml:space="preserve"> non-harvesting </w:t>
      </w:r>
      <w:r w:rsidR="00C2609D">
        <w:t xml:space="preserve">or green harvesting </w:t>
      </w:r>
      <w:r w:rsidRPr="006E086D">
        <w:t xml:space="preserve">operations not notified to the </w:t>
      </w:r>
      <w:r w:rsidRPr="0009762D">
        <w:t>Commission</w:t>
      </w:r>
      <w:r w:rsidRPr="006E086D">
        <w:t xml:space="preserve"> </w:t>
      </w:r>
      <w:r w:rsidR="00F31B87">
        <w:t>in accordance with</w:t>
      </w:r>
      <w:r w:rsidR="00A232CB">
        <w:t xml:space="preserve"> </w:t>
      </w:r>
      <w:r w:rsidRPr="006E086D">
        <w:t>this paragraph.</w:t>
      </w:r>
    </w:p>
    <w:p w:rsidR="003F1612" w:rsidRPr="00A3775A" w:rsidRDefault="00CB7FBC" w:rsidP="0009762D">
      <w:pPr>
        <w:pStyle w:val="Point0"/>
      </w:pPr>
      <w:r w:rsidRPr="006E086D">
        <w:t>3</w:t>
      </w:r>
      <w:r w:rsidR="001C685A" w:rsidRPr="006E086D">
        <w:t>.</w:t>
      </w:r>
      <w:r w:rsidR="008D3743" w:rsidRPr="006E086D">
        <w:tab/>
      </w:r>
      <w:r w:rsidR="003F1612" w:rsidRPr="00A3775A">
        <w:t>Where requests for Union support notified in accordance with paragraph 2 exceed the maximum amount of support referred to in Article 2, the Commission shall set, without the assistance of the Committee referred to in Article 195(1) of Regulation (EC) No 1234/2007, an allocation coefficient for the grant of total available Union support on the basis of received requests. In case request for support do not exceed the maximum amount of support, the allocation coefficient shall be set at 1</w:t>
      </w:r>
      <w:r w:rsidR="00A3775A">
        <w:t>00%</w:t>
      </w:r>
      <w:r w:rsidR="003F1612" w:rsidRPr="00A3775A">
        <w:t>.</w:t>
      </w:r>
    </w:p>
    <w:p w:rsidR="00E56F0B" w:rsidRDefault="003F1612" w:rsidP="0009762D">
      <w:pPr>
        <w:pStyle w:val="Text1"/>
      </w:pPr>
      <w:r w:rsidRPr="00A3775A">
        <w:t xml:space="preserve">Member States shall apply the allocation </w:t>
      </w:r>
      <w:r w:rsidRPr="0009762D">
        <w:t>coefficient</w:t>
      </w:r>
      <w:r w:rsidRPr="00A3775A">
        <w:t xml:space="preserve"> for all applications referred to in Article 8.</w:t>
      </w:r>
    </w:p>
    <w:p w:rsidR="009E12D6" w:rsidRDefault="009E12D6" w:rsidP="0009762D">
      <w:pPr>
        <w:pStyle w:val="Titrearticle"/>
      </w:pPr>
      <w:r w:rsidRPr="0009762D">
        <w:t xml:space="preserve">Article </w:t>
      </w:r>
      <w:r w:rsidR="00996A6A" w:rsidRPr="0009762D">
        <w:t>8</w:t>
      </w:r>
    </w:p>
    <w:p w:rsidR="009E12D6" w:rsidRDefault="009E12D6" w:rsidP="009E12D6">
      <w:pPr>
        <w:jc w:val="center"/>
        <w:rPr>
          <w:i/>
        </w:rPr>
      </w:pPr>
      <w:r>
        <w:rPr>
          <w:i/>
        </w:rPr>
        <w:t xml:space="preserve">Application for and payment of Union support </w:t>
      </w:r>
    </w:p>
    <w:p w:rsidR="00590AB4" w:rsidRDefault="00ED79E7" w:rsidP="00630130">
      <w:pPr>
        <w:pStyle w:val="NumPar1"/>
      </w:pPr>
      <w:r w:rsidRPr="001D136E">
        <w:t xml:space="preserve">Producer organisations shall apply for the payment of the Union support referred to in Article 4(5) and 5(2) by </w:t>
      </w:r>
      <w:r w:rsidR="000D2EA4" w:rsidRPr="001D136E">
        <w:t>1</w:t>
      </w:r>
      <w:r w:rsidR="000D2EA4">
        <w:t>1</w:t>
      </w:r>
      <w:r w:rsidR="000D2EA4" w:rsidRPr="001D136E">
        <w:t xml:space="preserve"> </w:t>
      </w:r>
      <w:r w:rsidRPr="001D136E">
        <w:t xml:space="preserve">July </w:t>
      </w:r>
      <w:r>
        <w:t>2011.</w:t>
      </w:r>
      <w:r w:rsidR="00590AB4">
        <w:t xml:space="preserve"> </w:t>
      </w:r>
    </w:p>
    <w:p w:rsidR="00590AB4" w:rsidRDefault="00ED79E7" w:rsidP="00DE6798">
      <w:pPr>
        <w:pStyle w:val="NumPar1"/>
      </w:pPr>
      <w:r w:rsidRPr="001D136E">
        <w:t xml:space="preserve">By way of derogation from the deadlines fixed pursuant to Article 73 of Regulation (EC) No 1580/2007 and Article 72 of Implementing Regulation (EU) No </w:t>
      </w:r>
      <w:r w:rsidRPr="001D136E">
        <w:rPr>
          <w:lang w:eastAsia="en-GB"/>
        </w:rPr>
        <w:t>543/2011, p</w:t>
      </w:r>
      <w:r w:rsidRPr="001D136E">
        <w:t xml:space="preserve">roducer organisations shall apply for the payment of the total Union support referred to in Article 4(1) to (4) of this Regulation in accordance with the procedure referred to in Article 73 of Regulation (EC) No 1580/2007 and in Article 72 of Implementing Regulation (EU) No </w:t>
      </w:r>
      <w:r w:rsidRPr="001D136E">
        <w:rPr>
          <w:lang w:eastAsia="en-GB"/>
        </w:rPr>
        <w:t xml:space="preserve">543/2011 by </w:t>
      </w:r>
      <w:r w:rsidR="000D2EA4" w:rsidRPr="001D136E">
        <w:rPr>
          <w:lang w:eastAsia="en-GB"/>
        </w:rPr>
        <w:t>1</w:t>
      </w:r>
      <w:r w:rsidR="000D2EA4">
        <w:rPr>
          <w:lang w:eastAsia="en-GB"/>
        </w:rPr>
        <w:t>1</w:t>
      </w:r>
      <w:r w:rsidR="000D2EA4" w:rsidRPr="001D136E">
        <w:rPr>
          <w:lang w:eastAsia="en-GB"/>
        </w:rPr>
        <w:t xml:space="preserve"> </w:t>
      </w:r>
      <w:r w:rsidRPr="001D136E">
        <w:rPr>
          <w:lang w:eastAsia="en-GB"/>
        </w:rPr>
        <w:t>July 2011</w:t>
      </w:r>
      <w:r w:rsidR="00590AB4" w:rsidRPr="005424EF">
        <w:t>.</w:t>
      </w:r>
    </w:p>
    <w:p w:rsidR="00ED79E7" w:rsidRDefault="00ED79E7" w:rsidP="00ED79E7">
      <w:pPr>
        <w:pStyle w:val="Text1"/>
        <w:rPr>
          <w:lang w:eastAsia="en-GB"/>
        </w:rPr>
      </w:pPr>
      <w:r w:rsidRPr="001D136E">
        <w:rPr>
          <w:lang w:eastAsia="en-GB"/>
        </w:rPr>
        <w:t xml:space="preserve">The ceiling of 80% of the initially approved amount of aid of operational programme established in the third subparagraph of </w:t>
      </w:r>
      <w:r w:rsidRPr="001D136E">
        <w:t xml:space="preserve">Article 73 of Regulation (EC) No 1580/2007 and Article 72 of Implementing Regulation (EU) No </w:t>
      </w:r>
      <w:r w:rsidRPr="001D136E">
        <w:rPr>
          <w:lang w:eastAsia="en-GB"/>
        </w:rPr>
        <w:t>543/2011 shall not apply</w:t>
      </w:r>
    </w:p>
    <w:p w:rsidR="00ED79E7" w:rsidRPr="001D136E" w:rsidRDefault="00ED79E7" w:rsidP="00DE6798">
      <w:pPr>
        <w:pStyle w:val="NumPar1"/>
      </w:pPr>
      <w:r w:rsidRPr="001D136E">
        <w:t xml:space="preserve">Producer non members shall, by </w:t>
      </w:r>
      <w:r w:rsidR="000D2EA4" w:rsidRPr="001D136E">
        <w:t>1</w:t>
      </w:r>
      <w:r w:rsidR="000D2EA4">
        <w:t>1</w:t>
      </w:r>
      <w:r w:rsidR="000D2EA4" w:rsidRPr="001D136E">
        <w:t xml:space="preserve"> </w:t>
      </w:r>
      <w:r w:rsidRPr="001D136E">
        <w:t>July 2011, apply themselves to the competent authorities of the Member States for the payment of Union support in the situations referred to in Article 5(4) and (5). The Member States shall designate the competent authorities by 30 June 2011.</w:t>
      </w:r>
    </w:p>
    <w:p w:rsidR="00ED79E7" w:rsidRPr="001D136E" w:rsidRDefault="00ED79E7" w:rsidP="00DE6798">
      <w:pPr>
        <w:pStyle w:val="NumPar1"/>
      </w:pPr>
      <w:r w:rsidRPr="001D136E">
        <w:t>The applications for Union support referred to in paragraphs 1, 2 and 3 shall be accompanied by supporting documents justifying the amount of Union support requested and contain a written undertaking that the applicant has not received any double Union or national funding or compensation under an insurance policy in respect of the operations qualifying for Union support under this Regulation.</w:t>
      </w:r>
    </w:p>
    <w:p w:rsidR="009E12D6" w:rsidRDefault="00ED79E7" w:rsidP="00DE6798">
      <w:pPr>
        <w:pStyle w:val="NumPar1"/>
      </w:pPr>
      <w:r w:rsidRPr="001D136E">
        <w:t>The competent authorities of the Member States shall not make payments before the allocation coefficient referred to in Article 7(3) has been set. They shall ensure that all payments to be made for the purposes of this Regulation are made by 15 October 2011 at the latest</w:t>
      </w:r>
      <w:r w:rsidR="00C9658D" w:rsidRPr="006A3C4D">
        <w:rPr>
          <w:lang w:eastAsia="en-GB"/>
        </w:rPr>
        <w:t>.</w:t>
      </w:r>
    </w:p>
    <w:p w:rsidR="00BB4D8E" w:rsidRPr="00D46F42" w:rsidRDefault="00BB4D8E" w:rsidP="0009762D">
      <w:pPr>
        <w:pStyle w:val="Titrearticle"/>
      </w:pPr>
      <w:r w:rsidRPr="0009762D">
        <w:t xml:space="preserve">Article </w:t>
      </w:r>
      <w:r w:rsidR="00996A6A" w:rsidRPr="0009762D">
        <w:t>9</w:t>
      </w:r>
    </w:p>
    <w:p w:rsidR="002423E5" w:rsidRPr="00CD1A83" w:rsidRDefault="002423E5" w:rsidP="002423E5">
      <w:pPr>
        <w:jc w:val="center"/>
        <w:rPr>
          <w:i/>
        </w:rPr>
      </w:pPr>
      <w:r w:rsidRPr="00CD1A83">
        <w:rPr>
          <w:i/>
        </w:rPr>
        <w:t>Entry into force</w:t>
      </w:r>
    </w:p>
    <w:p w:rsidR="00695F7D" w:rsidRPr="00CD1A83" w:rsidRDefault="00BB4D8E" w:rsidP="0009762D">
      <w:pPr>
        <w:rPr>
          <w:lang w:val="en" w:eastAsia="en-GB"/>
        </w:rPr>
      </w:pPr>
      <w:r w:rsidRPr="00CD1A83">
        <w:t>This Regulation shall enter into force on the</w:t>
      </w:r>
      <w:r w:rsidR="00695F7D" w:rsidRPr="00CD1A83">
        <w:rPr>
          <w:lang w:val="en"/>
        </w:rPr>
        <w:t xml:space="preserve"> </w:t>
      </w:r>
      <w:r w:rsidR="00695F7D" w:rsidRPr="00CD1A83">
        <w:rPr>
          <w:lang w:val="en" w:eastAsia="en-GB"/>
        </w:rPr>
        <w:t xml:space="preserve">day of its publication in the </w:t>
      </w:r>
      <w:r w:rsidR="00695F7D" w:rsidRPr="00CD1A83">
        <w:rPr>
          <w:i/>
          <w:lang w:val="en" w:eastAsia="en-GB"/>
        </w:rPr>
        <w:t>Official Journal of the European Union</w:t>
      </w:r>
      <w:r w:rsidR="00695F7D" w:rsidRPr="00CD1A83">
        <w:rPr>
          <w:lang w:val="en" w:eastAsia="en-GB"/>
        </w:rPr>
        <w:t>.</w:t>
      </w:r>
    </w:p>
    <w:p w:rsidR="00BB4D8E" w:rsidRPr="00CD1A83" w:rsidRDefault="00BB4D8E" w:rsidP="00216171">
      <w:pPr>
        <w:pStyle w:val="Applicationdirecte"/>
      </w:pPr>
      <w:r w:rsidRPr="00CD1A83">
        <w:t>This Regulation shall be binding in its entirety and directly applicable in the Member States.</w:t>
      </w:r>
    </w:p>
    <w:p w:rsidR="00BB4D8E" w:rsidRPr="00695F7D" w:rsidRDefault="00BB4D8E" w:rsidP="0009762D">
      <w:pPr>
        <w:pStyle w:val="Fait"/>
      </w:pPr>
      <w:r w:rsidRPr="00CD1A83">
        <w:t>Done at Brussels,</w:t>
      </w:r>
    </w:p>
    <w:p w:rsidR="00BB4D8E" w:rsidRDefault="00BB4D8E" w:rsidP="00BB4D8E">
      <w:pPr>
        <w:pStyle w:val="Institutionquisigne"/>
      </w:pPr>
      <w:r w:rsidRPr="00BB4D8E">
        <w:tab/>
        <w:t>For the Commission</w:t>
      </w:r>
      <w:r w:rsidR="00343C5C">
        <w:t xml:space="preserve"> </w:t>
      </w:r>
    </w:p>
    <w:p w:rsidR="00A605E8" w:rsidRPr="00A605E8" w:rsidRDefault="00BB4D8E" w:rsidP="006C7EF6">
      <w:pPr>
        <w:pStyle w:val="Personnequisigne"/>
      </w:pPr>
      <w:r w:rsidRPr="00BB4D8E">
        <w:tab/>
        <w:t>The President</w:t>
      </w:r>
    </w:p>
    <w:p w:rsidR="00B548E5" w:rsidRDefault="00BB4D8E" w:rsidP="0009762D">
      <w:pPr>
        <w:pStyle w:val="Personnequisigne"/>
        <w:sectPr w:rsidR="00B548E5" w:rsidSect="00ED5A9F">
          <w:footerReference w:type="default" r:id="rId9"/>
          <w:footerReference w:type="first" r:id="rId10"/>
          <w:pgSz w:w="11907" w:h="16840" w:code="9"/>
          <w:pgMar w:top="1134" w:right="1418" w:bottom="1134" w:left="1418" w:header="709" w:footer="709" w:gutter="0"/>
          <w:cols w:space="708"/>
          <w:docGrid w:linePitch="360"/>
        </w:sectPr>
      </w:pPr>
      <w:r w:rsidRPr="00BB4D8E">
        <w:br/>
      </w:r>
    </w:p>
    <w:p w:rsidR="00E57CAB" w:rsidRDefault="00E57CAB" w:rsidP="007D0573">
      <w:pPr>
        <w:pStyle w:val="Annexetitre"/>
      </w:pPr>
      <w:r>
        <w:t xml:space="preserve">ANNEX </w:t>
      </w:r>
      <w:r w:rsidR="001018AA">
        <w:t xml:space="preserve">I </w:t>
      </w:r>
    </w:p>
    <w:p w:rsidR="007F6308" w:rsidRPr="009601DC" w:rsidRDefault="007F6308" w:rsidP="007F6308">
      <w:pPr>
        <w:jc w:val="center"/>
        <w:rPr>
          <w:lang w:eastAsia="de-DE"/>
        </w:rPr>
      </w:pPr>
      <w:r w:rsidRPr="009601DC">
        <w:rPr>
          <w:lang w:eastAsia="de-DE"/>
        </w:rPr>
        <w:t>PART A</w:t>
      </w:r>
    </w:p>
    <w:p w:rsidR="00A56BB2" w:rsidRPr="009601DC" w:rsidRDefault="00A56BB2" w:rsidP="00A56BB2">
      <w:pPr>
        <w:jc w:val="center"/>
        <w:rPr>
          <w:noProof/>
        </w:rPr>
      </w:pPr>
      <w:r w:rsidRPr="009601DC">
        <w:rPr>
          <w:b/>
          <w:noProof/>
        </w:rPr>
        <w:t xml:space="preserve">MAXIMUM AMOUNTS OF UNION CONTRIBUTION </w:t>
      </w:r>
      <w:r w:rsidR="00067A24">
        <w:rPr>
          <w:b/>
          <w:noProof/>
        </w:rPr>
        <w:t xml:space="preserve">TO </w:t>
      </w:r>
      <w:r w:rsidRPr="009601DC">
        <w:rPr>
          <w:b/>
          <w:noProof/>
        </w:rPr>
        <w:t xml:space="preserve">SUPPORT FOR MARKET WITHDRAWALS AS REFERRED TO IN ARTICLE </w:t>
      </w:r>
      <w:r w:rsidR="00F86249">
        <w:rPr>
          <w:b/>
          <w:noProof/>
        </w:rPr>
        <w:t>4(3)</w:t>
      </w:r>
    </w:p>
    <w:tbl>
      <w:tblPr>
        <w:tblW w:w="0" w:type="auto"/>
        <w:jc w:val="center"/>
        <w:tblBorders>
          <w:top w:val="single" w:sz="2" w:space="0" w:color="auto"/>
          <w:bottom w:val="single" w:sz="2" w:space="0" w:color="auto"/>
          <w:insideH w:val="single" w:sz="2" w:space="0" w:color="auto"/>
          <w:insideV w:val="single" w:sz="2" w:space="0" w:color="auto"/>
        </w:tblBorders>
        <w:tblLayout w:type="fixed"/>
        <w:tblLook w:val="0000" w:firstRow="0" w:lastRow="0" w:firstColumn="0" w:lastColumn="0" w:noHBand="0" w:noVBand="0"/>
      </w:tblPr>
      <w:tblGrid>
        <w:gridCol w:w="3400"/>
        <w:gridCol w:w="5000"/>
      </w:tblGrid>
      <w:tr w:rsidR="00A56BB2" w:rsidRPr="009601DC">
        <w:trPr>
          <w:jc w:val="center"/>
        </w:trPr>
        <w:tc>
          <w:tcPr>
            <w:tcW w:w="3400" w:type="dxa"/>
          </w:tcPr>
          <w:p w:rsidR="00A56BB2" w:rsidRPr="009601DC" w:rsidRDefault="00A56BB2" w:rsidP="00941E1A">
            <w:pPr>
              <w:pStyle w:val="NormalCentered"/>
              <w:spacing w:before="60" w:after="60"/>
              <w:rPr>
                <w:noProof/>
                <w:sz w:val="20"/>
                <w:szCs w:val="20"/>
              </w:rPr>
            </w:pPr>
            <w:r w:rsidRPr="009601DC">
              <w:rPr>
                <w:noProof/>
                <w:sz w:val="20"/>
                <w:szCs w:val="20"/>
              </w:rPr>
              <w:t>Product</w:t>
            </w:r>
            <w:r w:rsidR="00C55470">
              <w:rPr>
                <w:noProof/>
                <w:sz w:val="20"/>
                <w:szCs w:val="20"/>
              </w:rPr>
              <w:t xml:space="preserve"> as referred to in Article 1(1)</w:t>
            </w:r>
          </w:p>
        </w:tc>
        <w:tc>
          <w:tcPr>
            <w:tcW w:w="5000" w:type="dxa"/>
          </w:tcPr>
          <w:p w:rsidR="00A56BB2" w:rsidRPr="009601DC" w:rsidRDefault="00A56BB2" w:rsidP="00941E1A">
            <w:pPr>
              <w:pStyle w:val="NormalCentered"/>
              <w:spacing w:before="60" w:after="60"/>
              <w:rPr>
                <w:noProof/>
                <w:sz w:val="20"/>
                <w:szCs w:val="20"/>
              </w:rPr>
            </w:pPr>
            <w:r w:rsidRPr="009601DC">
              <w:rPr>
                <w:noProof/>
                <w:sz w:val="20"/>
                <w:szCs w:val="20"/>
              </w:rPr>
              <w:t>Maximum support (EUR/100 kg)</w:t>
            </w:r>
          </w:p>
        </w:tc>
      </w:tr>
      <w:tr w:rsidR="00A56BB2" w:rsidRPr="009601DC">
        <w:trPr>
          <w:jc w:val="center"/>
        </w:trPr>
        <w:tc>
          <w:tcPr>
            <w:tcW w:w="3400" w:type="dxa"/>
          </w:tcPr>
          <w:p w:rsidR="00A56BB2" w:rsidRPr="009601DC" w:rsidRDefault="00A56BB2" w:rsidP="00941E1A">
            <w:pPr>
              <w:pStyle w:val="NormalLeft"/>
              <w:spacing w:before="60" w:after="60"/>
              <w:rPr>
                <w:noProof/>
                <w:sz w:val="20"/>
                <w:szCs w:val="20"/>
              </w:rPr>
            </w:pPr>
            <w:r w:rsidRPr="000D2EA4">
              <w:rPr>
                <w:noProof/>
                <w:sz w:val="20"/>
                <w:szCs w:val="20"/>
              </w:rPr>
              <w:t>Lettuce</w:t>
            </w:r>
            <w:r w:rsidR="000D2EA4" w:rsidRPr="000D2EA4">
              <w:rPr>
                <w:noProof/>
                <w:sz w:val="20"/>
                <w:szCs w:val="20"/>
              </w:rPr>
              <w:t xml:space="preserve"> </w:t>
            </w:r>
            <w:r w:rsidR="00C55470">
              <w:rPr>
                <w:noProof/>
                <w:sz w:val="20"/>
                <w:szCs w:val="20"/>
              </w:rPr>
              <w:t>and curled-leaved and broad-leaved endives</w:t>
            </w:r>
          </w:p>
        </w:tc>
        <w:tc>
          <w:tcPr>
            <w:tcW w:w="5000" w:type="dxa"/>
          </w:tcPr>
          <w:p w:rsidR="00A56BB2" w:rsidRPr="009601DC" w:rsidRDefault="00A56BB2" w:rsidP="00941E1A">
            <w:pPr>
              <w:pStyle w:val="NormalLeft"/>
              <w:tabs>
                <w:tab w:val="right" w:pos="2592"/>
              </w:tabs>
              <w:spacing w:before="60" w:after="60"/>
              <w:rPr>
                <w:noProof/>
                <w:sz w:val="20"/>
                <w:szCs w:val="20"/>
              </w:rPr>
            </w:pPr>
            <w:r w:rsidRPr="009601DC">
              <w:rPr>
                <w:noProof/>
                <w:sz w:val="20"/>
                <w:szCs w:val="20"/>
              </w:rPr>
              <w:tab/>
            </w:r>
            <w:r w:rsidR="00E64BB8">
              <w:rPr>
                <w:noProof/>
                <w:sz w:val="20"/>
                <w:szCs w:val="20"/>
              </w:rPr>
              <w:t>15,5</w:t>
            </w:r>
          </w:p>
        </w:tc>
      </w:tr>
      <w:tr w:rsidR="00A56BB2" w:rsidRPr="009601DC">
        <w:trPr>
          <w:jc w:val="center"/>
        </w:trPr>
        <w:tc>
          <w:tcPr>
            <w:tcW w:w="3400" w:type="dxa"/>
          </w:tcPr>
          <w:p w:rsidR="00A56BB2" w:rsidRPr="009601DC" w:rsidRDefault="00A56BB2" w:rsidP="00941E1A">
            <w:pPr>
              <w:pStyle w:val="NormalLeft"/>
              <w:spacing w:before="60" w:after="60"/>
              <w:rPr>
                <w:noProof/>
                <w:sz w:val="20"/>
                <w:szCs w:val="20"/>
              </w:rPr>
            </w:pPr>
            <w:r w:rsidRPr="009601DC">
              <w:rPr>
                <w:noProof/>
                <w:sz w:val="20"/>
                <w:szCs w:val="20"/>
              </w:rPr>
              <w:t>Cucumbers</w:t>
            </w:r>
          </w:p>
        </w:tc>
        <w:tc>
          <w:tcPr>
            <w:tcW w:w="5000" w:type="dxa"/>
          </w:tcPr>
          <w:p w:rsidR="00A56BB2" w:rsidRPr="009601DC" w:rsidRDefault="00A56BB2" w:rsidP="00941E1A">
            <w:pPr>
              <w:pStyle w:val="NormalLeft"/>
              <w:tabs>
                <w:tab w:val="right" w:pos="2592"/>
              </w:tabs>
              <w:spacing w:before="60" w:after="60"/>
              <w:jc w:val="center"/>
              <w:rPr>
                <w:noProof/>
                <w:sz w:val="20"/>
                <w:szCs w:val="20"/>
              </w:rPr>
            </w:pPr>
            <w:r w:rsidRPr="009601DC">
              <w:rPr>
                <w:noProof/>
                <w:sz w:val="20"/>
                <w:szCs w:val="20"/>
              </w:rPr>
              <w:t>9,6</w:t>
            </w:r>
          </w:p>
        </w:tc>
      </w:tr>
      <w:tr w:rsidR="00EE4799" w:rsidRPr="00D20D6F">
        <w:trPr>
          <w:jc w:val="center"/>
        </w:trPr>
        <w:tc>
          <w:tcPr>
            <w:tcW w:w="3400" w:type="dxa"/>
          </w:tcPr>
          <w:p w:rsidR="00EE4799" w:rsidRPr="00D20D6F" w:rsidRDefault="00EE4799" w:rsidP="00941E1A">
            <w:pPr>
              <w:pStyle w:val="NormalLeft"/>
              <w:spacing w:before="60" w:after="60"/>
              <w:rPr>
                <w:noProof/>
                <w:sz w:val="20"/>
                <w:szCs w:val="20"/>
              </w:rPr>
            </w:pPr>
            <w:r w:rsidRPr="00D20D6F">
              <w:rPr>
                <w:noProof/>
                <w:sz w:val="20"/>
                <w:szCs w:val="20"/>
              </w:rPr>
              <w:t>Sweet peppers</w:t>
            </w:r>
          </w:p>
        </w:tc>
        <w:tc>
          <w:tcPr>
            <w:tcW w:w="5000" w:type="dxa"/>
          </w:tcPr>
          <w:p w:rsidR="00EE4799" w:rsidRPr="00D20D6F" w:rsidRDefault="009C78A4" w:rsidP="00941E1A">
            <w:pPr>
              <w:pStyle w:val="NormalLeft"/>
              <w:tabs>
                <w:tab w:val="right" w:pos="2592"/>
              </w:tabs>
              <w:spacing w:before="60" w:after="60"/>
              <w:jc w:val="center"/>
              <w:rPr>
                <w:noProof/>
                <w:sz w:val="20"/>
                <w:szCs w:val="20"/>
              </w:rPr>
            </w:pPr>
            <w:r w:rsidRPr="00D20D6F">
              <w:rPr>
                <w:noProof/>
                <w:sz w:val="20"/>
                <w:szCs w:val="20"/>
              </w:rPr>
              <w:t>17,8</w:t>
            </w:r>
          </w:p>
        </w:tc>
      </w:tr>
      <w:tr w:rsidR="00EE4799" w:rsidRPr="00D20D6F">
        <w:trPr>
          <w:jc w:val="center"/>
        </w:trPr>
        <w:tc>
          <w:tcPr>
            <w:tcW w:w="3400" w:type="dxa"/>
          </w:tcPr>
          <w:p w:rsidR="00EE4799" w:rsidRPr="00D20D6F" w:rsidRDefault="00EE4799" w:rsidP="00941E1A">
            <w:pPr>
              <w:pStyle w:val="NormalLeft"/>
              <w:spacing w:before="60" w:after="60"/>
              <w:rPr>
                <w:noProof/>
                <w:sz w:val="20"/>
                <w:szCs w:val="20"/>
              </w:rPr>
            </w:pPr>
            <w:r w:rsidRPr="00D20D6F">
              <w:rPr>
                <w:noProof/>
                <w:sz w:val="20"/>
                <w:szCs w:val="20"/>
              </w:rPr>
              <w:t>Courgettes</w:t>
            </w:r>
          </w:p>
        </w:tc>
        <w:tc>
          <w:tcPr>
            <w:tcW w:w="5000" w:type="dxa"/>
          </w:tcPr>
          <w:p w:rsidR="00EE4799" w:rsidRPr="00D20D6F" w:rsidRDefault="009C78A4" w:rsidP="00941E1A">
            <w:pPr>
              <w:pStyle w:val="NormalLeft"/>
              <w:tabs>
                <w:tab w:val="right" w:pos="2592"/>
              </w:tabs>
              <w:spacing w:before="60" w:after="60"/>
              <w:jc w:val="center"/>
              <w:rPr>
                <w:noProof/>
                <w:sz w:val="20"/>
                <w:szCs w:val="20"/>
              </w:rPr>
            </w:pPr>
            <w:r w:rsidRPr="00D20D6F">
              <w:rPr>
                <w:noProof/>
                <w:sz w:val="20"/>
                <w:szCs w:val="20"/>
              </w:rPr>
              <w:t>11,8</w:t>
            </w:r>
          </w:p>
        </w:tc>
      </w:tr>
    </w:tbl>
    <w:p w:rsidR="007F6308" w:rsidRPr="00D20D6F" w:rsidRDefault="007F6308" w:rsidP="007F6308">
      <w:pPr>
        <w:jc w:val="center"/>
        <w:rPr>
          <w:lang w:eastAsia="de-DE"/>
        </w:rPr>
      </w:pPr>
      <w:r w:rsidRPr="00D20D6F">
        <w:rPr>
          <w:lang w:eastAsia="de-DE"/>
        </w:rPr>
        <w:t>PART B</w:t>
      </w:r>
    </w:p>
    <w:p w:rsidR="00A56BB2" w:rsidRPr="00D20D6F" w:rsidRDefault="00A56BB2" w:rsidP="00A56BB2">
      <w:pPr>
        <w:jc w:val="center"/>
        <w:rPr>
          <w:noProof/>
        </w:rPr>
      </w:pPr>
      <w:r w:rsidRPr="00D20D6F">
        <w:rPr>
          <w:b/>
          <w:noProof/>
        </w:rPr>
        <w:t>MAXIMUM AMOUNTS OF ADDITIONAL</w:t>
      </w:r>
      <w:r w:rsidR="00A605E8" w:rsidRPr="00A605E8">
        <w:rPr>
          <w:b/>
          <w:noProof/>
        </w:rPr>
        <w:t xml:space="preserve"> </w:t>
      </w:r>
      <w:r w:rsidR="00A605E8" w:rsidRPr="001D136E">
        <w:rPr>
          <w:b/>
          <w:noProof/>
        </w:rPr>
        <w:t>UNION</w:t>
      </w:r>
      <w:r w:rsidRPr="00D20D6F">
        <w:rPr>
          <w:b/>
          <w:noProof/>
        </w:rPr>
        <w:t xml:space="preserve"> SUPPORT FOR MARKET WITHDRAWALS AS REFERRED TO IN ARTICLE </w:t>
      </w:r>
      <w:r w:rsidR="00F86249">
        <w:rPr>
          <w:b/>
          <w:noProof/>
        </w:rPr>
        <w:t>4(5)</w:t>
      </w:r>
    </w:p>
    <w:tbl>
      <w:tblPr>
        <w:tblW w:w="0" w:type="auto"/>
        <w:jc w:val="center"/>
        <w:tblBorders>
          <w:top w:val="single" w:sz="2" w:space="0" w:color="auto"/>
          <w:bottom w:val="single" w:sz="2" w:space="0" w:color="auto"/>
          <w:insideH w:val="single" w:sz="2" w:space="0" w:color="auto"/>
          <w:insideV w:val="single" w:sz="2" w:space="0" w:color="auto"/>
        </w:tblBorders>
        <w:tblLayout w:type="fixed"/>
        <w:tblLook w:val="0000" w:firstRow="0" w:lastRow="0" w:firstColumn="0" w:lastColumn="0" w:noHBand="0" w:noVBand="0"/>
      </w:tblPr>
      <w:tblGrid>
        <w:gridCol w:w="3400"/>
        <w:gridCol w:w="5000"/>
      </w:tblGrid>
      <w:tr w:rsidR="00A56BB2" w:rsidRPr="00D20D6F">
        <w:trPr>
          <w:jc w:val="center"/>
        </w:trPr>
        <w:tc>
          <w:tcPr>
            <w:tcW w:w="3400" w:type="dxa"/>
          </w:tcPr>
          <w:p w:rsidR="00A56BB2" w:rsidRPr="00D20D6F" w:rsidRDefault="00A56BB2" w:rsidP="00941E1A">
            <w:pPr>
              <w:pStyle w:val="NormalCentered"/>
              <w:spacing w:before="60" w:after="60"/>
              <w:rPr>
                <w:noProof/>
                <w:sz w:val="20"/>
                <w:szCs w:val="20"/>
              </w:rPr>
            </w:pPr>
            <w:r w:rsidRPr="00D20D6F">
              <w:rPr>
                <w:noProof/>
                <w:sz w:val="20"/>
                <w:szCs w:val="20"/>
              </w:rPr>
              <w:t>Product</w:t>
            </w:r>
            <w:r w:rsidR="00C55470">
              <w:rPr>
                <w:noProof/>
                <w:sz w:val="20"/>
                <w:szCs w:val="20"/>
              </w:rPr>
              <w:t xml:space="preserve"> as referred to in Article 1(1)</w:t>
            </w:r>
          </w:p>
        </w:tc>
        <w:tc>
          <w:tcPr>
            <w:tcW w:w="5000" w:type="dxa"/>
          </w:tcPr>
          <w:p w:rsidR="00A56BB2" w:rsidRPr="00D20D6F" w:rsidRDefault="00A56BB2" w:rsidP="00941E1A">
            <w:pPr>
              <w:pStyle w:val="NormalCentered"/>
              <w:spacing w:before="60" w:after="60"/>
              <w:rPr>
                <w:noProof/>
                <w:sz w:val="20"/>
                <w:szCs w:val="20"/>
              </w:rPr>
            </w:pPr>
            <w:r w:rsidRPr="00D20D6F">
              <w:rPr>
                <w:noProof/>
                <w:sz w:val="20"/>
                <w:szCs w:val="20"/>
              </w:rPr>
              <w:t>Maximum support (EUR/100 kg)</w:t>
            </w:r>
          </w:p>
        </w:tc>
      </w:tr>
      <w:tr w:rsidR="00A56BB2" w:rsidRPr="00D20D6F">
        <w:trPr>
          <w:jc w:val="center"/>
        </w:trPr>
        <w:tc>
          <w:tcPr>
            <w:tcW w:w="3400" w:type="dxa"/>
          </w:tcPr>
          <w:p w:rsidR="00A56BB2" w:rsidRPr="00D20D6F" w:rsidRDefault="00A56BB2" w:rsidP="00941E1A">
            <w:pPr>
              <w:pStyle w:val="NormalLeft"/>
              <w:spacing w:before="60" w:after="60"/>
              <w:rPr>
                <w:noProof/>
                <w:sz w:val="20"/>
                <w:szCs w:val="20"/>
              </w:rPr>
            </w:pPr>
            <w:r w:rsidRPr="00D20D6F">
              <w:rPr>
                <w:sz w:val="20"/>
                <w:szCs w:val="20"/>
                <w:lang w:val="fr-FR"/>
              </w:rPr>
              <w:t>Tomatoes</w:t>
            </w:r>
          </w:p>
        </w:tc>
        <w:tc>
          <w:tcPr>
            <w:tcW w:w="5000" w:type="dxa"/>
          </w:tcPr>
          <w:p w:rsidR="00A56BB2" w:rsidRPr="00D20D6F" w:rsidRDefault="00A56BB2" w:rsidP="00941E1A">
            <w:pPr>
              <w:pStyle w:val="NormalLeft"/>
              <w:tabs>
                <w:tab w:val="right" w:pos="2592"/>
              </w:tabs>
              <w:spacing w:before="60" w:after="60"/>
              <w:rPr>
                <w:noProof/>
                <w:sz w:val="20"/>
                <w:szCs w:val="20"/>
              </w:rPr>
            </w:pPr>
            <w:r w:rsidRPr="00D20D6F">
              <w:rPr>
                <w:noProof/>
                <w:sz w:val="20"/>
                <w:szCs w:val="20"/>
              </w:rPr>
              <w:tab/>
            </w:r>
            <w:r w:rsidR="00E64BB8" w:rsidRPr="00D20D6F">
              <w:rPr>
                <w:noProof/>
                <w:sz w:val="20"/>
                <w:szCs w:val="20"/>
              </w:rPr>
              <w:t>33,2</w:t>
            </w:r>
            <w:r w:rsidRPr="00D20D6F">
              <w:rPr>
                <w:noProof/>
                <w:sz w:val="20"/>
                <w:szCs w:val="20"/>
              </w:rPr>
              <w:t xml:space="preserve"> </w:t>
            </w:r>
          </w:p>
        </w:tc>
      </w:tr>
      <w:tr w:rsidR="00A56BB2" w:rsidRPr="00D20D6F">
        <w:trPr>
          <w:jc w:val="center"/>
        </w:trPr>
        <w:tc>
          <w:tcPr>
            <w:tcW w:w="3400" w:type="dxa"/>
          </w:tcPr>
          <w:p w:rsidR="00A56BB2" w:rsidRPr="000D2EA4" w:rsidRDefault="00A56BB2" w:rsidP="00941E1A">
            <w:pPr>
              <w:pStyle w:val="NormalLeft"/>
              <w:spacing w:before="60" w:after="60"/>
              <w:rPr>
                <w:noProof/>
                <w:sz w:val="20"/>
                <w:szCs w:val="20"/>
              </w:rPr>
            </w:pPr>
            <w:r w:rsidRPr="000D2EA4">
              <w:rPr>
                <w:noProof/>
                <w:sz w:val="20"/>
                <w:szCs w:val="20"/>
              </w:rPr>
              <w:t>Lettuce</w:t>
            </w:r>
            <w:r w:rsidR="000D2EA4" w:rsidRPr="000D2EA4">
              <w:rPr>
                <w:noProof/>
                <w:sz w:val="20"/>
                <w:szCs w:val="20"/>
              </w:rPr>
              <w:t xml:space="preserve"> </w:t>
            </w:r>
            <w:r w:rsidR="00C55470">
              <w:rPr>
                <w:noProof/>
                <w:sz w:val="20"/>
                <w:szCs w:val="20"/>
              </w:rPr>
              <w:t>and curled-leaved and broad-leaved endives</w:t>
            </w:r>
          </w:p>
        </w:tc>
        <w:tc>
          <w:tcPr>
            <w:tcW w:w="5000" w:type="dxa"/>
            <w:vAlign w:val="center"/>
          </w:tcPr>
          <w:p w:rsidR="00A56BB2" w:rsidRPr="00D20D6F" w:rsidRDefault="00E64BB8" w:rsidP="006C5F0D">
            <w:pPr>
              <w:pStyle w:val="NormalLeft"/>
              <w:tabs>
                <w:tab w:val="right" w:pos="2592"/>
              </w:tabs>
              <w:spacing w:before="60" w:after="60"/>
              <w:jc w:val="center"/>
              <w:rPr>
                <w:noProof/>
                <w:sz w:val="20"/>
                <w:szCs w:val="20"/>
              </w:rPr>
            </w:pPr>
            <w:r w:rsidRPr="00D20D6F">
              <w:rPr>
                <w:noProof/>
                <w:sz w:val="20"/>
                <w:szCs w:val="20"/>
              </w:rPr>
              <w:t>38,9</w:t>
            </w:r>
          </w:p>
        </w:tc>
      </w:tr>
      <w:tr w:rsidR="00A56BB2" w:rsidRPr="00D20D6F">
        <w:trPr>
          <w:jc w:val="center"/>
        </w:trPr>
        <w:tc>
          <w:tcPr>
            <w:tcW w:w="3400" w:type="dxa"/>
          </w:tcPr>
          <w:p w:rsidR="00A56BB2" w:rsidRPr="00D20D6F" w:rsidRDefault="00A56BB2" w:rsidP="00941E1A">
            <w:pPr>
              <w:pStyle w:val="NormalLeft"/>
              <w:spacing w:before="60" w:after="60"/>
              <w:rPr>
                <w:noProof/>
                <w:sz w:val="20"/>
                <w:szCs w:val="20"/>
              </w:rPr>
            </w:pPr>
            <w:r w:rsidRPr="00D20D6F">
              <w:rPr>
                <w:noProof/>
                <w:sz w:val="20"/>
                <w:szCs w:val="20"/>
              </w:rPr>
              <w:t>Cucumbers,</w:t>
            </w:r>
          </w:p>
        </w:tc>
        <w:tc>
          <w:tcPr>
            <w:tcW w:w="5000" w:type="dxa"/>
          </w:tcPr>
          <w:p w:rsidR="00A56BB2" w:rsidRPr="00D20D6F" w:rsidRDefault="00E64BB8" w:rsidP="00941E1A">
            <w:pPr>
              <w:pStyle w:val="NormalLeft"/>
              <w:tabs>
                <w:tab w:val="right" w:pos="2592"/>
              </w:tabs>
              <w:spacing w:before="60" w:after="60"/>
              <w:jc w:val="center"/>
              <w:rPr>
                <w:noProof/>
                <w:sz w:val="20"/>
                <w:szCs w:val="20"/>
              </w:rPr>
            </w:pPr>
            <w:r w:rsidRPr="00D20D6F">
              <w:rPr>
                <w:noProof/>
                <w:sz w:val="20"/>
                <w:szCs w:val="20"/>
              </w:rPr>
              <w:t>24,0</w:t>
            </w:r>
            <w:r w:rsidR="00A56BB2" w:rsidRPr="00D20D6F">
              <w:rPr>
                <w:noProof/>
                <w:sz w:val="20"/>
                <w:szCs w:val="20"/>
              </w:rPr>
              <w:t xml:space="preserve"> </w:t>
            </w:r>
          </w:p>
        </w:tc>
      </w:tr>
      <w:tr w:rsidR="00EE4799" w:rsidRPr="00D20D6F">
        <w:trPr>
          <w:jc w:val="center"/>
        </w:trPr>
        <w:tc>
          <w:tcPr>
            <w:tcW w:w="3400" w:type="dxa"/>
          </w:tcPr>
          <w:p w:rsidR="00EE4799" w:rsidRPr="00D20D6F" w:rsidRDefault="00EE4799" w:rsidP="003E7BFA">
            <w:pPr>
              <w:pStyle w:val="NormalLeft"/>
              <w:spacing w:before="60" w:after="60"/>
              <w:rPr>
                <w:noProof/>
                <w:sz w:val="20"/>
                <w:szCs w:val="20"/>
              </w:rPr>
            </w:pPr>
            <w:r w:rsidRPr="00D20D6F">
              <w:rPr>
                <w:noProof/>
                <w:sz w:val="20"/>
                <w:szCs w:val="20"/>
              </w:rPr>
              <w:t>Sweet peppers</w:t>
            </w:r>
          </w:p>
        </w:tc>
        <w:tc>
          <w:tcPr>
            <w:tcW w:w="5000" w:type="dxa"/>
          </w:tcPr>
          <w:p w:rsidR="00EE4799" w:rsidRPr="00D20D6F" w:rsidRDefault="009742D2" w:rsidP="003E7BFA">
            <w:pPr>
              <w:pStyle w:val="NormalLeft"/>
              <w:tabs>
                <w:tab w:val="right" w:pos="2592"/>
              </w:tabs>
              <w:spacing w:before="60" w:after="60"/>
              <w:jc w:val="center"/>
              <w:rPr>
                <w:noProof/>
                <w:sz w:val="20"/>
                <w:szCs w:val="20"/>
              </w:rPr>
            </w:pPr>
            <w:r w:rsidRPr="00D20D6F">
              <w:rPr>
                <w:noProof/>
                <w:sz w:val="20"/>
                <w:szCs w:val="20"/>
              </w:rPr>
              <w:t>44,4</w:t>
            </w:r>
          </w:p>
        </w:tc>
      </w:tr>
      <w:tr w:rsidR="00EE4799" w:rsidRPr="009601DC">
        <w:trPr>
          <w:jc w:val="center"/>
        </w:trPr>
        <w:tc>
          <w:tcPr>
            <w:tcW w:w="3400" w:type="dxa"/>
          </w:tcPr>
          <w:p w:rsidR="00EE4799" w:rsidRPr="00D20D6F" w:rsidRDefault="00EE4799" w:rsidP="003E7BFA">
            <w:pPr>
              <w:pStyle w:val="NormalLeft"/>
              <w:spacing w:before="60" w:after="60"/>
              <w:rPr>
                <w:noProof/>
                <w:sz w:val="20"/>
                <w:szCs w:val="20"/>
              </w:rPr>
            </w:pPr>
            <w:r w:rsidRPr="00D20D6F">
              <w:rPr>
                <w:noProof/>
                <w:sz w:val="20"/>
                <w:szCs w:val="20"/>
              </w:rPr>
              <w:t>Courgettes</w:t>
            </w:r>
          </w:p>
        </w:tc>
        <w:tc>
          <w:tcPr>
            <w:tcW w:w="5000" w:type="dxa"/>
          </w:tcPr>
          <w:p w:rsidR="00EE4799" w:rsidRPr="00D20D6F" w:rsidRDefault="009742D2" w:rsidP="003E7BFA">
            <w:pPr>
              <w:pStyle w:val="NormalLeft"/>
              <w:tabs>
                <w:tab w:val="right" w:pos="2592"/>
              </w:tabs>
              <w:spacing w:before="60" w:after="60"/>
              <w:jc w:val="center"/>
              <w:rPr>
                <w:noProof/>
                <w:sz w:val="20"/>
                <w:szCs w:val="20"/>
              </w:rPr>
            </w:pPr>
            <w:r w:rsidRPr="00D20D6F">
              <w:rPr>
                <w:noProof/>
                <w:sz w:val="20"/>
                <w:szCs w:val="20"/>
              </w:rPr>
              <w:t>29,6</w:t>
            </w:r>
          </w:p>
        </w:tc>
      </w:tr>
    </w:tbl>
    <w:p w:rsidR="00E2064F" w:rsidRDefault="00E2064F" w:rsidP="00E2064F">
      <w:pPr>
        <w:pStyle w:val="Annexetitre"/>
        <w:sectPr w:rsidR="00E2064F" w:rsidSect="00ED5A9F">
          <w:pgSz w:w="11907" w:h="16839"/>
          <w:pgMar w:top="1134" w:right="1418" w:bottom="1134" w:left="1418" w:header="709" w:footer="709" w:gutter="0"/>
          <w:cols w:space="708"/>
          <w:docGrid w:linePitch="360"/>
        </w:sectPr>
      </w:pPr>
    </w:p>
    <w:p w:rsidR="001B63D8" w:rsidRDefault="001B63D8" w:rsidP="00E2064F">
      <w:pPr>
        <w:pStyle w:val="Annexetitre"/>
      </w:pPr>
      <w:r>
        <w:t>ANNEX II</w:t>
      </w:r>
    </w:p>
    <w:p w:rsidR="001B63D8" w:rsidRPr="009E12D6" w:rsidRDefault="001B63D8" w:rsidP="001B63D8">
      <w:pPr>
        <w:jc w:val="center"/>
        <w:rPr>
          <w:b/>
        </w:rPr>
      </w:pPr>
      <w:r w:rsidRPr="009E12D6">
        <w:rPr>
          <w:b/>
        </w:rPr>
        <w:t xml:space="preserve">TEMPLATES FOR NOTIFICATION AS REFERRED TO IN ARTICLE </w:t>
      </w:r>
      <w:r w:rsidRPr="009E12D6" w:rsidDel="00A43A1E">
        <w:rPr>
          <w:b/>
        </w:rPr>
        <w:t>6</w:t>
      </w:r>
      <w:r>
        <w:rPr>
          <w:b/>
        </w:rPr>
        <w:t>7(1)</w:t>
      </w:r>
    </w:p>
    <w:p w:rsidR="001B63D8" w:rsidRPr="00C55470" w:rsidRDefault="00E05004" w:rsidP="0002220B">
      <w:pPr>
        <w:jc w:val="center"/>
      </w:pPr>
      <w:r w:rsidRPr="00C55470">
        <w:rPr>
          <w:noProof/>
          <w:lang w:val="sk-SK" w:eastAsia="sk-SK"/>
        </w:rPr>
        <w:drawing>
          <wp:inline distT="0" distB="0" distL="0" distR="0">
            <wp:extent cx="6410325" cy="47053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10325" cy="4705350"/>
                    </a:xfrm>
                    <a:prstGeom prst="rect">
                      <a:avLst/>
                    </a:prstGeom>
                    <a:noFill/>
                    <a:ln>
                      <a:noFill/>
                    </a:ln>
                  </pic:spPr>
                </pic:pic>
              </a:graphicData>
            </a:graphic>
          </wp:inline>
        </w:drawing>
      </w:r>
    </w:p>
    <w:p w:rsidR="001B63D8" w:rsidRPr="00C55470" w:rsidRDefault="00E05004" w:rsidP="0002220B">
      <w:pPr>
        <w:jc w:val="center"/>
      </w:pPr>
      <w:r w:rsidRPr="00C55470">
        <w:rPr>
          <w:noProof/>
          <w:lang w:val="sk-SK" w:eastAsia="sk-SK"/>
        </w:rPr>
        <w:drawing>
          <wp:inline distT="0" distB="0" distL="0" distR="0">
            <wp:extent cx="6562725" cy="555307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62725" cy="5553075"/>
                    </a:xfrm>
                    <a:prstGeom prst="rect">
                      <a:avLst/>
                    </a:prstGeom>
                    <a:noFill/>
                    <a:ln>
                      <a:noFill/>
                    </a:ln>
                  </pic:spPr>
                </pic:pic>
              </a:graphicData>
            </a:graphic>
          </wp:inline>
        </w:drawing>
      </w:r>
    </w:p>
    <w:p w:rsidR="00A43A1E" w:rsidRDefault="00A43A1E" w:rsidP="00E2064F">
      <w:pPr>
        <w:pStyle w:val="Annexetitre"/>
      </w:pPr>
      <w:r>
        <w:t>ANNEX II</w:t>
      </w:r>
      <w:r w:rsidR="0087572E">
        <w:t>I</w:t>
      </w:r>
    </w:p>
    <w:p w:rsidR="00281E69" w:rsidRDefault="00A43A1E" w:rsidP="00A43A1E">
      <w:pPr>
        <w:jc w:val="center"/>
        <w:rPr>
          <w:b/>
        </w:rPr>
      </w:pPr>
      <w:r w:rsidRPr="009E12D6">
        <w:rPr>
          <w:b/>
        </w:rPr>
        <w:t xml:space="preserve">TEMPLATES FOR NOTIFICATION AS REFERRED TO IN ARTICLE </w:t>
      </w:r>
      <w:r>
        <w:rPr>
          <w:b/>
        </w:rPr>
        <w:t>7(</w:t>
      </w:r>
      <w:r w:rsidR="00281E69">
        <w:rPr>
          <w:b/>
        </w:rPr>
        <w:t>2</w:t>
      </w:r>
      <w:r>
        <w:rPr>
          <w:b/>
        </w:rPr>
        <w:t>)</w:t>
      </w:r>
    </w:p>
    <w:p w:rsidR="007D2C8B" w:rsidRPr="009F4841" w:rsidRDefault="00E05004" w:rsidP="00A43A1E">
      <w:pPr>
        <w:jc w:val="center"/>
      </w:pPr>
      <w:r w:rsidRPr="009F4841">
        <w:rPr>
          <w:noProof/>
          <w:lang w:val="sk-SK" w:eastAsia="sk-SK"/>
        </w:rPr>
        <w:drawing>
          <wp:inline distT="0" distB="0" distL="0" distR="0">
            <wp:extent cx="8239125" cy="349567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39125" cy="3495675"/>
                    </a:xfrm>
                    <a:prstGeom prst="rect">
                      <a:avLst/>
                    </a:prstGeom>
                    <a:noFill/>
                    <a:ln>
                      <a:noFill/>
                    </a:ln>
                  </pic:spPr>
                </pic:pic>
              </a:graphicData>
            </a:graphic>
          </wp:inline>
        </w:drawing>
      </w:r>
    </w:p>
    <w:p w:rsidR="003D09AD" w:rsidRPr="00A87F23" w:rsidRDefault="00E05004" w:rsidP="00A43A1E">
      <w:pPr>
        <w:jc w:val="center"/>
      </w:pPr>
      <w:r w:rsidRPr="00A87F23">
        <w:rPr>
          <w:noProof/>
          <w:lang w:val="sk-SK" w:eastAsia="sk-SK"/>
        </w:rPr>
        <w:drawing>
          <wp:inline distT="0" distB="0" distL="0" distR="0">
            <wp:extent cx="8124825" cy="379095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124825" cy="3790950"/>
                    </a:xfrm>
                    <a:prstGeom prst="rect">
                      <a:avLst/>
                    </a:prstGeom>
                    <a:noFill/>
                    <a:ln>
                      <a:noFill/>
                    </a:ln>
                  </pic:spPr>
                </pic:pic>
              </a:graphicData>
            </a:graphic>
          </wp:inline>
        </w:drawing>
      </w:r>
    </w:p>
    <w:sectPr w:rsidR="003D09AD" w:rsidRPr="00A87F23" w:rsidSect="00ED5A9F">
      <w:headerReference w:type="default" r:id="rId15"/>
      <w:footerReference w:type="default" r:id="rId16"/>
      <w:headerReference w:type="first" r:id="rId17"/>
      <w:footerReference w:type="first" r:id="rId18"/>
      <w:pgSz w:w="16839" w:h="11907" w:orient="landscape"/>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6869" w:rsidRDefault="009C6869">
      <w:r>
        <w:separator/>
      </w:r>
    </w:p>
  </w:endnote>
  <w:endnote w:type="continuationSeparator" w:id="0">
    <w:p w:rsidR="009C6869" w:rsidRDefault="009C6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Pta"/>
      <w:rPr>
        <w:rFonts w:ascii="Arial" w:hAnsi="Arial" w:cs="Arial"/>
        <w:b/>
        <w:sz w:val="48"/>
      </w:rPr>
    </w:pPr>
    <w:r w:rsidRPr="00ED5A9F">
      <w:rPr>
        <w:rFonts w:ascii="Arial" w:hAnsi="Arial" w:cs="Arial"/>
        <w:b/>
        <w:sz w:val="48"/>
      </w:rPr>
      <w:t>EN</w:t>
    </w:r>
    <w:r w:rsidRPr="00ED5A9F">
      <w:rPr>
        <w:rFonts w:ascii="Arial" w:hAnsi="Arial" w:cs="Arial"/>
        <w:b/>
        <w:sz w:val="48"/>
      </w:rPr>
      <w:tab/>
    </w:r>
    <w:r w:rsidRPr="00ED5A9F">
      <w:rPr>
        <w:rFonts w:ascii="Arial" w:hAnsi="Arial" w:cs="Arial"/>
        <w:b/>
        <w:sz w:val="48"/>
      </w:rPr>
      <w:tab/>
    </w:r>
    <w:fldSimple w:instr=" DOCVARIABLE &quot;LW_Confidence&quot; \* MERGEFORMAT ">
      <w:r w:rsidR="008F3590">
        <w:t xml:space="preserve"> </w:t>
      </w:r>
    </w:fldSimple>
    <w:r w:rsidRPr="00ED5A9F">
      <w:tab/>
    </w:r>
    <w:r w:rsidRPr="00ED5A9F">
      <w:rPr>
        <w:rFonts w:ascii="Arial" w:hAnsi="Arial" w:cs="Arial"/>
        <w:b/>
        <w:sz w:val="48"/>
      </w:rPr>
      <w:t>EN</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Pta"/>
      <w:rPr>
        <w:rFonts w:ascii="Arial" w:hAnsi="Arial" w:cs="Arial"/>
        <w:b/>
        <w:sz w:val="48"/>
      </w:rPr>
    </w:pPr>
    <w:r w:rsidRPr="00ED5A9F">
      <w:rPr>
        <w:rFonts w:ascii="Arial" w:hAnsi="Arial" w:cs="Arial"/>
        <w:b/>
        <w:sz w:val="48"/>
      </w:rPr>
      <w:t>EN</w:t>
    </w:r>
    <w:r w:rsidRPr="00ED5A9F">
      <w:rPr>
        <w:rFonts w:ascii="Arial" w:hAnsi="Arial" w:cs="Arial"/>
        <w:b/>
        <w:sz w:val="48"/>
      </w:rPr>
      <w:tab/>
    </w:r>
    <w:r>
      <w:fldChar w:fldCharType="begin"/>
    </w:r>
    <w:r>
      <w:instrText xml:space="preserve"> PAGE  \* MERGEFORMAT </w:instrText>
    </w:r>
    <w:r>
      <w:fldChar w:fldCharType="separate"/>
    </w:r>
    <w:r w:rsidR="00E05004">
      <w:rPr>
        <w:noProof/>
      </w:rPr>
      <w:t>2</w:t>
    </w:r>
    <w:r>
      <w:fldChar w:fldCharType="end"/>
    </w:r>
    <w:r>
      <w:tab/>
    </w:r>
    <w:fldSimple w:instr=" DOCVARIABLE &quot;LW_Confidence&quot; \* MERGEFORMAT ">
      <w:r w:rsidR="008F3590">
        <w:t xml:space="preserve"> </w:t>
      </w:r>
    </w:fldSimple>
    <w:r w:rsidRPr="00ED5A9F">
      <w:tab/>
    </w:r>
    <w:r w:rsidRPr="00ED5A9F">
      <w:rPr>
        <w:rFonts w:ascii="Arial" w:hAnsi="Arial" w:cs="Arial"/>
        <w:b/>
        <w:sz w:val="48"/>
      </w:rPr>
      <w:t>EN</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Pt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FooterLandscape"/>
      <w:rPr>
        <w:rFonts w:ascii="Arial" w:hAnsi="Arial" w:cs="Arial"/>
        <w:b/>
        <w:sz w:val="48"/>
      </w:rPr>
    </w:pPr>
    <w:r w:rsidRPr="00ED5A9F">
      <w:rPr>
        <w:rFonts w:ascii="Arial" w:hAnsi="Arial" w:cs="Arial"/>
        <w:b/>
        <w:sz w:val="48"/>
      </w:rPr>
      <w:t>EN</w:t>
    </w:r>
    <w:r w:rsidRPr="00ED5A9F">
      <w:rPr>
        <w:rFonts w:ascii="Arial" w:hAnsi="Arial" w:cs="Arial"/>
        <w:b/>
        <w:sz w:val="48"/>
      </w:rPr>
      <w:tab/>
    </w:r>
    <w:r>
      <w:fldChar w:fldCharType="begin"/>
    </w:r>
    <w:r>
      <w:instrText xml:space="preserve"> PAGE  \* MERGEFORMAT </w:instrText>
    </w:r>
    <w:r>
      <w:fldChar w:fldCharType="separate"/>
    </w:r>
    <w:r w:rsidR="00035202">
      <w:rPr>
        <w:noProof/>
      </w:rPr>
      <w:t>14</w:t>
    </w:r>
    <w:r>
      <w:fldChar w:fldCharType="end"/>
    </w:r>
    <w:r>
      <w:tab/>
    </w:r>
    <w:fldSimple w:instr=" DOCVARIABLE &quot;LW_Confidence&quot; \* MERGEFORMAT ">
      <w:r w:rsidR="008F3590">
        <w:t xml:space="preserve"> </w:t>
      </w:r>
    </w:fldSimple>
    <w:r w:rsidRPr="00ED5A9F">
      <w:tab/>
    </w:r>
    <w:r w:rsidRPr="00ED5A9F">
      <w:rPr>
        <w:rFonts w:ascii="Arial" w:hAnsi="Arial" w:cs="Arial"/>
        <w:b/>
        <w:sz w:val="48"/>
      </w:rPr>
      <w:t>EN</w: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FooterLandscap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6869" w:rsidRDefault="009C6869">
      <w:r>
        <w:separator/>
      </w:r>
    </w:p>
  </w:footnote>
  <w:footnote w:type="continuationSeparator" w:id="0">
    <w:p w:rsidR="009C6869" w:rsidRDefault="009C6869">
      <w:r>
        <w:continuationSeparator/>
      </w:r>
    </w:p>
  </w:footnote>
  <w:footnote w:id="1">
    <w:p w:rsidR="00000000" w:rsidRDefault="00ED5A9F">
      <w:pPr>
        <w:pStyle w:val="Textpoznmkypodiarou"/>
      </w:pPr>
      <w:r>
        <w:rPr>
          <w:rStyle w:val="Odkaznapoznmkupodiarou"/>
        </w:rPr>
        <w:footnoteRef/>
      </w:r>
      <w:r>
        <w:tab/>
        <w:t>OJ L 299, 16.11.2007, p. 1</w:t>
      </w:r>
      <w:r w:rsidRPr="00DB1D86">
        <w:rPr>
          <w:sz w:val="17"/>
          <w:szCs w:val="17"/>
          <w:lang w:eastAsia="en-GB"/>
        </w:rPr>
        <w:t>.</w:t>
      </w:r>
    </w:p>
  </w:footnote>
  <w:footnote w:id="2">
    <w:p w:rsidR="00000000" w:rsidRDefault="00ED5A9F" w:rsidP="00EF6A02">
      <w:pPr>
        <w:pStyle w:val="Textpoznmkypodiarou"/>
      </w:pPr>
      <w:r w:rsidRPr="00E2064F">
        <w:rPr>
          <w:rStyle w:val="Odkaznapoznmkupodiarou"/>
        </w:rPr>
        <w:footnoteRef/>
      </w:r>
      <w:r>
        <w:rPr>
          <w:lang w:val="pl-PL"/>
        </w:rPr>
        <w:tab/>
      </w:r>
      <w:r w:rsidRPr="00E2064F">
        <w:rPr>
          <w:rStyle w:val="Zvraznenie"/>
          <w:i w:val="0"/>
          <w:sz w:val="17"/>
          <w:szCs w:val="17"/>
          <w:lang w:val="pl-PL"/>
        </w:rPr>
        <w:t>OJ L 350, 31.12.2007, p. 1</w:t>
      </w:r>
      <w:r w:rsidRPr="00E2064F">
        <w:rPr>
          <w:rStyle w:val="Zvraznenie"/>
          <w:sz w:val="17"/>
          <w:szCs w:val="17"/>
          <w:lang w:val="pl-PL"/>
        </w:rPr>
        <w:t>.</w:t>
      </w:r>
    </w:p>
  </w:footnote>
  <w:footnote w:id="3">
    <w:p w:rsidR="00000000" w:rsidRDefault="00ED5A9F">
      <w:pPr>
        <w:pStyle w:val="Textpoznmkypodiarou"/>
      </w:pPr>
      <w:r w:rsidRPr="00E2064F">
        <w:rPr>
          <w:rStyle w:val="Odkaznapoznmkupodiarou"/>
        </w:rPr>
        <w:footnoteRef/>
      </w:r>
      <w:r>
        <w:rPr>
          <w:lang w:val="pl-PL"/>
        </w:rPr>
        <w:tab/>
      </w:r>
      <w:r w:rsidRPr="00EA75F5">
        <w:rPr>
          <w:rStyle w:val="Zvraznenie"/>
          <w:i w:val="0"/>
          <w:lang w:val="pl-PL"/>
        </w:rPr>
        <w:t>OJ L xxx, 15.6.2011, p. x</w:t>
      </w:r>
      <w:r w:rsidRPr="00EA75F5">
        <w:rPr>
          <w:rStyle w:val="Zvraznenie"/>
          <w:lang w:val="pl-PL"/>
        </w:rPr>
        <w:t>.</w:t>
      </w:r>
    </w:p>
  </w:footnote>
  <w:footnote w:id="4">
    <w:p w:rsidR="00000000" w:rsidRDefault="00ED5A9F">
      <w:pPr>
        <w:pStyle w:val="Textpoznmkypodiarou"/>
      </w:pPr>
      <w:r w:rsidRPr="00E2064F">
        <w:rPr>
          <w:rStyle w:val="Odkaznapoznmkupodiarou"/>
        </w:rPr>
        <w:footnoteRef/>
      </w:r>
      <w:r>
        <w:rPr>
          <w:lang w:val="pl-PL"/>
        </w:rPr>
        <w:tab/>
      </w:r>
      <w:r w:rsidRPr="00EA75F5">
        <w:rPr>
          <w:lang w:val="pl-PL"/>
        </w:rPr>
        <w:t>OJ L 209, 11.08.2005,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HeaderLandscap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5A9F" w:rsidRPr="00ED5A9F" w:rsidRDefault="00ED5A9F" w:rsidP="00ED5A9F">
    <w:pPr>
      <w:pStyle w:val="HeaderLandscap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B2DAC55A"/>
    <w:lvl w:ilvl="0">
      <w:start w:val="1"/>
      <w:numFmt w:val="decimal"/>
      <w:pStyle w:val="slovanzoznam4"/>
      <w:lvlText w:val="%1."/>
      <w:lvlJc w:val="left"/>
      <w:pPr>
        <w:tabs>
          <w:tab w:val="num" w:pos="1209"/>
        </w:tabs>
        <w:ind w:left="1209" w:hanging="360"/>
      </w:pPr>
      <w:rPr>
        <w:rFonts w:cs="Times New Roman"/>
      </w:rPr>
    </w:lvl>
  </w:abstractNum>
  <w:abstractNum w:abstractNumId="1" w15:restartNumberingAfterBreak="0">
    <w:nsid w:val="FFFFFF7E"/>
    <w:multiLevelType w:val="singleLevel"/>
    <w:tmpl w:val="3A089B5A"/>
    <w:lvl w:ilvl="0">
      <w:start w:val="1"/>
      <w:numFmt w:val="decimal"/>
      <w:pStyle w:val="slovanzoznam3"/>
      <w:lvlText w:val="%1."/>
      <w:lvlJc w:val="left"/>
      <w:pPr>
        <w:tabs>
          <w:tab w:val="num" w:pos="926"/>
        </w:tabs>
        <w:ind w:left="926" w:hanging="360"/>
      </w:pPr>
      <w:rPr>
        <w:rFonts w:cs="Times New Roman"/>
      </w:rPr>
    </w:lvl>
  </w:abstractNum>
  <w:abstractNum w:abstractNumId="2" w15:restartNumberingAfterBreak="0">
    <w:nsid w:val="FFFFFF7F"/>
    <w:multiLevelType w:val="singleLevel"/>
    <w:tmpl w:val="A6582A70"/>
    <w:lvl w:ilvl="0">
      <w:start w:val="1"/>
      <w:numFmt w:val="decimal"/>
      <w:pStyle w:val="slovanzoznam2"/>
      <w:lvlText w:val="%1."/>
      <w:lvlJc w:val="left"/>
      <w:pPr>
        <w:tabs>
          <w:tab w:val="num" w:pos="643"/>
        </w:tabs>
        <w:ind w:left="643" w:hanging="360"/>
      </w:pPr>
      <w:rPr>
        <w:rFonts w:cs="Times New Roman"/>
      </w:rPr>
    </w:lvl>
  </w:abstractNum>
  <w:abstractNum w:abstractNumId="3" w15:restartNumberingAfterBreak="0">
    <w:nsid w:val="FFFFFF81"/>
    <w:multiLevelType w:val="singleLevel"/>
    <w:tmpl w:val="ACFCDABE"/>
    <w:lvl w:ilvl="0">
      <w:start w:val="1"/>
      <w:numFmt w:val="bullet"/>
      <w:pStyle w:val="Zoznamsodrkami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6BF29FD8"/>
    <w:lvl w:ilvl="0">
      <w:start w:val="1"/>
      <w:numFmt w:val="bullet"/>
      <w:pStyle w:val="Zoznamsodrkami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1194BF96"/>
    <w:lvl w:ilvl="0">
      <w:start w:val="1"/>
      <w:numFmt w:val="bullet"/>
      <w:pStyle w:val="Zoznamsodrkami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39E0A1D4"/>
    <w:lvl w:ilvl="0">
      <w:start w:val="1"/>
      <w:numFmt w:val="decimal"/>
      <w:pStyle w:val="slovanzoznam"/>
      <w:lvlText w:val="%1."/>
      <w:lvlJc w:val="left"/>
      <w:pPr>
        <w:tabs>
          <w:tab w:val="num" w:pos="360"/>
        </w:tabs>
        <w:ind w:left="360" w:hanging="360"/>
      </w:pPr>
      <w:rPr>
        <w:rFonts w:cs="Times New Roman"/>
      </w:rPr>
    </w:lvl>
  </w:abstractNum>
  <w:abstractNum w:abstractNumId="7" w15:restartNumberingAfterBreak="0">
    <w:nsid w:val="FFFFFF89"/>
    <w:multiLevelType w:val="singleLevel"/>
    <w:tmpl w:val="9A28855C"/>
    <w:lvl w:ilvl="0">
      <w:start w:val="1"/>
      <w:numFmt w:val="bullet"/>
      <w:pStyle w:val="Zoznamsodrkami"/>
      <w:lvlText w:val=""/>
      <w:lvlJc w:val="left"/>
      <w:pPr>
        <w:tabs>
          <w:tab w:val="num" w:pos="360"/>
        </w:tabs>
        <w:ind w:left="360" w:hanging="360"/>
      </w:pPr>
      <w:rPr>
        <w:rFonts w:ascii="Symbol" w:hAnsi="Symbol" w:hint="default"/>
      </w:rPr>
    </w:lvl>
  </w:abstractNum>
  <w:abstractNum w:abstractNumId="8" w15:restartNumberingAfterBreak="0">
    <w:nsid w:val="22955519"/>
    <w:multiLevelType w:val="multilevel"/>
    <w:tmpl w:val="C2AE28FA"/>
    <w:name w:val="LegalNumbering"/>
    <w:lvl w:ilvl="0">
      <w:start w:val="1"/>
      <w:numFmt w:val="decimal"/>
      <w:lvlRestart w:val="0"/>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1"/>
      <w:numFmt w:val="decimal"/>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2AF76E7A"/>
    <w:multiLevelType w:val="singleLevel"/>
    <w:tmpl w:val="C74C5A32"/>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0" w15:restartNumberingAfterBreak="0">
    <w:nsid w:val="3A5459E8"/>
    <w:multiLevelType w:val="singleLevel"/>
    <w:tmpl w:val="2188C922"/>
    <w:name w:val="Tiret 1"/>
    <w:lvl w:ilvl="0">
      <w:start w:val="1"/>
      <w:numFmt w:val="bullet"/>
      <w:lvlRestart w:val="0"/>
      <w:pStyle w:val="Tiret1"/>
      <w:lvlText w:val="–"/>
      <w:lvlJc w:val="left"/>
      <w:pPr>
        <w:tabs>
          <w:tab w:val="num" w:pos="1417"/>
        </w:tabs>
        <w:ind w:left="1417" w:hanging="567"/>
      </w:pPr>
    </w:lvl>
  </w:abstractNum>
  <w:abstractNum w:abstractNumId="11" w15:restartNumberingAfterBreak="0">
    <w:nsid w:val="3BA736C9"/>
    <w:multiLevelType w:val="singleLevel"/>
    <w:tmpl w:val="F00A6C0C"/>
    <w:name w:val="Tiret 0"/>
    <w:lvl w:ilvl="0">
      <w:start w:val="1"/>
      <w:numFmt w:val="bullet"/>
      <w:lvlRestart w:val="0"/>
      <w:pStyle w:val="Tiret0"/>
      <w:lvlText w:val="–"/>
      <w:lvlJc w:val="left"/>
      <w:pPr>
        <w:tabs>
          <w:tab w:val="num" w:pos="850"/>
        </w:tabs>
        <w:ind w:left="850" w:hanging="850"/>
      </w:pPr>
    </w:lvl>
  </w:abstractNum>
  <w:abstractNum w:abstractNumId="12" w15:restartNumberingAfterBreak="0">
    <w:nsid w:val="3C90278F"/>
    <w:multiLevelType w:val="singleLevel"/>
    <w:tmpl w:val="0FE08974"/>
    <w:name w:val="Tiret 3"/>
    <w:lvl w:ilvl="0">
      <w:start w:val="1"/>
      <w:numFmt w:val="bullet"/>
      <w:lvlRestart w:val="0"/>
      <w:pStyle w:val="Tiret3"/>
      <w:lvlText w:val="–"/>
      <w:lvlJc w:val="left"/>
      <w:pPr>
        <w:tabs>
          <w:tab w:val="num" w:pos="2551"/>
        </w:tabs>
        <w:ind w:left="2551" w:hanging="567"/>
      </w:pPr>
    </w:lvl>
  </w:abstractNum>
  <w:abstractNum w:abstractNumId="13" w15:restartNumberingAfterBreak="0">
    <w:nsid w:val="3F9C03CF"/>
    <w:multiLevelType w:val="multilevel"/>
    <w:tmpl w:val="9B84A502"/>
    <w:name w:val="NumPar__1"/>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48842C30"/>
    <w:multiLevelType w:val="singleLevel"/>
    <w:tmpl w:val="4FA60B9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5" w15:restartNumberingAfterBreak="0">
    <w:nsid w:val="4E7B14BA"/>
    <w:multiLevelType w:val="singleLevel"/>
    <w:tmpl w:val="D74AADA6"/>
    <w:name w:val="Considérant__1"/>
    <w:lvl w:ilvl="0">
      <w:start w:val="1"/>
      <w:numFmt w:val="decimal"/>
      <w:lvlRestart w:val="0"/>
      <w:lvlText w:val="(%1)"/>
      <w:lvlJc w:val="left"/>
      <w:pPr>
        <w:tabs>
          <w:tab w:val="num" w:pos="709"/>
        </w:tabs>
        <w:ind w:left="709" w:hanging="709"/>
      </w:pPr>
      <w:rPr>
        <w:rFonts w:cs="Times New Roman"/>
      </w:rPr>
    </w:lvl>
  </w:abstractNum>
  <w:abstractNum w:abstractNumId="16" w15:restartNumberingAfterBreak="0">
    <w:nsid w:val="4E8C0879"/>
    <w:multiLevelType w:val="multilevel"/>
    <w:tmpl w:val="AE20A1B0"/>
    <w:name w:val="Default"/>
    <w:lvl w:ilvl="0">
      <w:start w:val="1"/>
      <w:numFmt w:val="decimal"/>
      <w:lvlRestart w:val="0"/>
      <w:lvlText w:val="%1."/>
      <w:lvlJc w:val="left"/>
      <w:pPr>
        <w:tabs>
          <w:tab w:val="num" w:pos="720"/>
        </w:tabs>
        <w:ind w:left="72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54593082"/>
    <w:multiLevelType w:val="singleLevel"/>
    <w:tmpl w:val="EDE069AC"/>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8" w15:restartNumberingAfterBreak="0">
    <w:nsid w:val="568864DC"/>
    <w:multiLevelType w:val="singleLevel"/>
    <w:tmpl w:val="485EBDAC"/>
    <w:name w:val="Tiret 4"/>
    <w:lvl w:ilvl="0">
      <w:start w:val="1"/>
      <w:numFmt w:val="bullet"/>
      <w:lvlRestart w:val="0"/>
      <w:pStyle w:val="Tiret4"/>
      <w:lvlText w:val="–"/>
      <w:lvlJc w:val="left"/>
      <w:pPr>
        <w:tabs>
          <w:tab w:val="num" w:pos="3118"/>
        </w:tabs>
        <w:ind w:left="3118" w:hanging="567"/>
      </w:pPr>
    </w:lvl>
  </w:abstractNum>
  <w:abstractNum w:abstractNumId="19" w15:restartNumberingAfterBreak="0">
    <w:nsid w:val="5F342530"/>
    <w:multiLevelType w:val="singleLevel"/>
    <w:tmpl w:val="D5444702"/>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20" w15:restartNumberingAfterBreak="0">
    <w:nsid w:val="5F9C40AA"/>
    <w:multiLevelType w:val="singleLevel"/>
    <w:tmpl w:val="B89CB5A2"/>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1" w15:restartNumberingAfterBreak="0">
    <w:nsid w:val="61C926E6"/>
    <w:multiLevelType w:val="singleLevel"/>
    <w:tmpl w:val="C6508430"/>
    <w:lvl w:ilvl="0">
      <w:start w:val="1"/>
      <w:numFmt w:val="decimal"/>
      <w:pStyle w:val="TitleUNECE"/>
      <w:lvlText w:val="%1."/>
      <w:lvlJc w:val="left"/>
      <w:pPr>
        <w:tabs>
          <w:tab w:val="num" w:pos="360"/>
        </w:tabs>
        <w:ind w:left="360" w:hanging="360"/>
      </w:pPr>
      <w:rPr>
        <w:rFonts w:cs="Times New Roman" w:hint="default"/>
      </w:rPr>
    </w:lvl>
  </w:abstractNum>
  <w:abstractNum w:abstractNumId="22" w15:restartNumberingAfterBreak="0">
    <w:nsid w:val="62970F71"/>
    <w:multiLevelType w:val="singleLevel"/>
    <w:tmpl w:val="5AFA8C72"/>
    <w:name w:val="Tiret 2"/>
    <w:lvl w:ilvl="0">
      <w:start w:val="1"/>
      <w:numFmt w:val="bullet"/>
      <w:lvlRestart w:val="0"/>
      <w:pStyle w:val="Tiret2"/>
      <w:lvlText w:val="–"/>
      <w:lvlJc w:val="left"/>
      <w:pPr>
        <w:tabs>
          <w:tab w:val="num" w:pos="1984"/>
        </w:tabs>
        <w:ind w:left="1984" w:hanging="567"/>
      </w:pPr>
    </w:lvl>
  </w:abstractNum>
  <w:abstractNum w:abstractNumId="23" w15:restartNumberingAfterBreak="0">
    <w:nsid w:val="69995580"/>
    <w:multiLevelType w:val="singleLevel"/>
    <w:tmpl w:val="75CC7CBA"/>
    <w:name w:val="Considérant"/>
    <w:lvl w:ilvl="0">
      <w:start w:val="1"/>
      <w:numFmt w:val="decimal"/>
      <w:lvlRestart w:val="0"/>
      <w:lvlText w:val="(%1)"/>
      <w:lvlJc w:val="left"/>
      <w:pPr>
        <w:tabs>
          <w:tab w:val="num" w:pos="709"/>
        </w:tabs>
        <w:ind w:left="709" w:hanging="709"/>
      </w:pPr>
      <w:rPr>
        <w:rFonts w:cs="Times New Roman"/>
      </w:rPr>
    </w:lvl>
  </w:abstractNum>
  <w:abstractNum w:abstractNumId="24" w15:restartNumberingAfterBreak="0">
    <w:nsid w:val="711167E2"/>
    <w:multiLevelType w:val="multilevel"/>
    <w:tmpl w:val="C3843A7A"/>
    <w:lvl w:ilvl="0">
      <w:start w:val="1"/>
      <w:numFmt w:val="decimal"/>
      <w:lvlRestart w:val="0"/>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1"/>
      <w:numFmt w:val="decimal"/>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5" w15:restartNumberingAfterBreak="0">
    <w:nsid w:val="75C26F71"/>
    <w:multiLevelType w:val="multilevel"/>
    <w:tmpl w:val="E01E7708"/>
    <w:name w:val="NumPar"/>
    <w:lvl w:ilvl="0">
      <w:start w:val="1"/>
      <w:numFmt w:val="decimal"/>
      <w:lvlRestart w:val="0"/>
      <w:pStyle w:val="Nadpis1"/>
      <w:lvlText w:val="%1."/>
      <w:lvlJc w:val="left"/>
      <w:pPr>
        <w:tabs>
          <w:tab w:val="num" w:pos="850"/>
        </w:tabs>
        <w:ind w:left="850" w:hanging="850"/>
      </w:pPr>
      <w:rPr>
        <w:rFonts w:cs="Times New Roman"/>
      </w:rPr>
    </w:lvl>
    <w:lvl w:ilvl="1">
      <w:start w:val="1"/>
      <w:numFmt w:val="decimal"/>
      <w:pStyle w:val="Nadpis2"/>
      <w:lvlText w:val="%1.%2."/>
      <w:lvlJc w:val="left"/>
      <w:pPr>
        <w:tabs>
          <w:tab w:val="num" w:pos="850"/>
        </w:tabs>
        <w:ind w:left="850" w:hanging="850"/>
      </w:pPr>
      <w:rPr>
        <w:rFonts w:cs="Times New Roman"/>
      </w:rPr>
    </w:lvl>
    <w:lvl w:ilvl="2">
      <w:start w:val="1"/>
      <w:numFmt w:val="decimal"/>
      <w:pStyle w:val="Nadpis3"/>
      <w:lvlText w:val="%1.%2.%3."/>
      <w:lvlJc w:val="left"/>
      <w:pPr>
        <w:tabs>
          <w:tab w:val="num" w:pos="850"/>
        </w:tabs>
        <w:ind w:left="850" w:hanging="850"/>
      </w:pPr>
      <w:rPr>
        <w:rFonts w:cs="Times New Roman"/>
      </w:rPr>
    </w:lvl>
    <w:lvl w:ilvl="3">
      <w:start w:val="1"/>
      <w:numFmt w:val="decimal"/>
      <w:pStyle w:val="Nadpis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6" w15:restartNumberingAfterBreak="0">
    <w:nsid w:val="7BE95D7F"/>
    <w:multiLevelType w:val="multilevel"/>
    <w:tmpl w:val="F126F780"/>
    <w:name w:val="Heading"/>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num w:numId="1">
    <w:abstractNumId w:val="7"/>
  </w:num>
  <w:num w:numId="2">
    <w:abstractNumId w:val="5"/>
  </w:num>
  <w:num w:numId="3">
    <w:abstractNumId w:val="4"/>
  </w:num>
  <w:num w:numId="4">
    <w:abstractNumId w:val="3"/>
  </w:num>
  <w:num w:numId="5">
    <w:abstractNumId w:val="6"/>
  </w:num>
  <w:num w:numId="6">
    <w:abstractNumId w:val="2"/>
  </w:num>
  <w:num w:numId="7">
    <w:abstractNumId w:val="1"/>
  </w:num>
  <w:num w:numId="8">
    <w:abstractNumId w:val="0"/>
  </w:num>
  <w:num w:numId="9">
    <w:abstractNumId w:val="11"/>
  </w:num>
  <w:num w:numId="10">
    <w:abstractNumId w:val="10"/>
  </w:num>
  <w:num w:numId="11">
    <w:abstractNumId w:val="22"/>
  </w:num>
  <w:num w:numId="12">
    <w:abstractNumId w:val="12"/>
  </w:num>
  <w:num w:numId="13">
    <w:abstractNumId w:val="18"/>
  </w:num>
  <w:num w:numId="14">
    <w:abstractNumId w:val="24"/>
  </w:num>
  <w:num w:numId="15">
    <w:abstractNumId w:val="25"/>
  </w:num>
  <w:num w:numId="16">
    <w:abstractNumId w:val="26"/>
  </w:num>
  <w:num w:numId="17">
    <w:abstractNumId w:val="17"/>
  </w:num>
  <w:num w:numId="18">
    <w:abstractNumId w:val="9"/>
  </w:num>
  <w:num w:numId="19">
    <w:abstractNumId w:val="20"/>
  </w:num>
  <w:num w:numId="20">
    <w:abstractNumId w:val="19"/>
  </w:num>
  <w:num w:numId="21">
    <w:abstractNumId w:val="14"/>
  </w:num>
  <w:num w:numId="22">
    <w:abstractNumId w:val="4"/>
  </w:num>
  <w:num w:numId="23">
    <w:abstractNumId w:val="3"/>
  </w:num>
  <w:num w:numId="24">
    <w:abstractNumId w:val="6"/>
  </w:num>
  <w:num w:numId="25">
    <w:abstractNumId w:val="7"/>
  </w:num>
  <w:num w:numId="26">
    <w:abstractNumId w:val="5"/>
  </w:num>
  <w:num w:numId="27">
    <w:abstractNumId w:val="2"/>
  </w:num>
  <w:num w:numId="28">
    <w:abstractNumId w:val="1"/>
  </w:num>
  <w:num w:numId="29">
    <w:abstractNumId w:val="0"/>
  </w:num>
  <w:num w:numId="30">
    <w:abstractNumId w:val="21"/>
  </w:num>
  <w:num w:numId="31">
    <w:abstractNumId w:val="13"/>
  </w:num>
  <w:num w:numId="32">
    <w:abstractNumId w:val="15"/>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5"/>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nsidérant" w:val="Considérant__1"/>
    <w:docVar w:name="Copylist_Path" w:val="\\at100\user\wk\SEILEG\Lw5x\Copylist\CecCons\Template"/>
    <w:docVar w:name="COVERPAGE_EXISTS" w:val="True"/>
    <w:docVar w:name="LW_CONFIDENCE" w:val=" "/>
    <w:docVar w:name="LW_CROSSREFERENCE" w:val="&lt;UNUSED&gt;"/>
    <w:docVar w:name="LW_DATE.ADOPT.CP" w:val="of XXX"/>
    <w:docVar w:name="LW_DocType" w:val="COM"/>
    <w:docVar w:name="LW_EMISSION" w:val="&lt;EMPTY&gt;"/>
    <w:docVar w:name="LW_EMISSION_PREFIX" w:val="Brussels, "/>
    <w:docVar w:name="LW_ID_DOCMODEL" w:val="a08"/>
    <w:docVar w:name="LW_ID_DOCSIGNATURE" w:val="COMM.S1"/>
    <w:docVar w:name="LW_ID_DOCSTRUCTURE" w:val="COM/AA"/>
    <w:docVar w:name="LW_ID_DOCTYPE" w:val="REGLEXEC.COMM"/>
    <w:docVar w:name="LW_INTERETEEE.CP" w:val="&lt;UNUSED&gt;"/>
    <w:docVar w:name="LW_LANGUE" w:val="EN"/>
    <w:docVar w:name="LW_LANGUESFAISANTFOI.CP" w:val="&lt;UNUSED&gt;"/>
    <w:docVar w:name="LW_NOM.INST" w:val="EUROPEAN COMMISSION"/>
    <w:docVar w:name="LW_NOM.INST_JOINTDOC" w:val="&lt;EMPTY&gt;"/>
    <w:docVar w:name="LW_REF.INST.NEW" w:val="&lt;EMPTY&gt;"/>
    <w:docVar w:name="LW_REF.INST.NEW_ADOPTED" w:val="draft"/>
    <w:docVar w:name="LW_REF.INST.NEW_TEXT" w:val="(2011) XXX"/>
    <w:docVar w:name="LW_REF.INTERNE" w:val="&lt;UNUSED&gt;"/>
    <w:docVar w:name="LW_SOUS.TITRE.OBJ.CP" w:val="&lt;UNUSED&gt;"/>
    <w:docVar w:name="LW_SUPERTITRE" w:val="&lt;UNUSED&gt;"/>
    <w:docVar w:name="LW_TITRE.OBJ.CP" w:val="laying down temporary exceptional support measures for the fruit and vegetable sector "/>
    <w:docVar w:name="LW_TITRE.OBJ.CP_PREVIOUS" w:val="&lt;UNUSED&gt;"/>
    <w:docVar w:name="LW_TYPE.DOC.CP" w:val="COMMISSION IMPLEMENTING REGULATION (EU) No \u8230?/.."/>
    <w:docVar w:name="LW_VOLUME" w:val="&lt;UNUSED&gt;"/>
    <w:docVar w:name="NumPar" w:val="NumPar__1"/>
    <w:docVar w:name="VSSDB_IniPath" w:val="\\at100\user\wovo\SEILEG\vss\srcsafe.ini"/>
    <w:docVar w:name="VSSDB_ProjectPath" w:val="$/LegisWrite/DOT/COM"/>
  </w:docVars>
  <w:rsids>
    <w:rsidRoot w:val="00BB4D8E"/>
    <w:rsid w:val="00010754"/>
    <w:rsid w:val="00013EFD"/>
    <w:rsid w:val="0002220B"/>
    <w:rsid w:val="0002582E"/>
    <w:rsid w:val="00035202"/>
    <w:rsid w:val="00046F4D"/>
    <w:rsid w:val="000508D1"/>
    <w:rsid w:val="0005534A"/>
    <w:rsid w:val="00062D56"/>
    <w:rsid w:val="00067A24"/>
    <w:rsid w:val="000821ED"/>
    <w:rsid w:val="00084335"/>
    <w:rsid w:val="00084C3D"/>
    <w:rsid w:val="00086659"/>
    <w:rsid w:val="0009762D"/>
    <w:rsid w:val="00097F11"/>
    <w:rsid w:val="000A1063"/>
    <w:rsid w:val="000A198D"/>
    <w:rsid w:val="000A19DE"/>
    <w:rsid w:val="000B4A94"/>
    <w:rsid w:val="000C2A0A"/>
    <w:rsid w:val="000C3910"/>
    <w:rsid w:val="000C3E91"/>
    <w:rsid w:val="000D0009"/>
    <w:rsid w:val="000D2EA4"/>
    <w:rsid w:val="000D3B80"/>
    <w:rsid w:val="000D7982"/>
    <w:rsid w:val="000E401C"/>
    <w:rsid w:val="000F326B"/>
    <w:rsid w:val="000F5797"/>
    <w:rsid w:val="00101353"/>
    <w:rsid w:val="001018AA"/>
    <w:rsid w:val="00110E18"/>
    <w:rsid w:val="001111EC"/>
    <w:rsid w:val="00116F18"/>
    <w:rsid w:val="00116F2E"/>
    <w:rsid w:val="00120CFD"/>
    <w:rsid w:val="00121171"/>
    <w:rsid w:val="00124A45"/>
    <w:rsid w:val="0012576D"/>
    <w:rsid w:val="00127038"/>
    <w:rsid w:val="00134887"/>
    <w:rsid w:val="00144950"/>
    <w:rsid w:val="00150B3B"/>
    <w:rsid w:val="001520C0"/>
    <w:rsid w:val="001527AB"/>
    <w:rsid w:val="001545B8"/>
    <w:rsid w:val="00162FEA"/>
    <w:rsid w:val="00165352"/>
    <w:rsid w:val="0017315C"/>
    <w:rsid w:val="00175933"/>
    <w:rsid w:val="00175A79"/>
    <w:rsid w:val="00176125"/>
    <w:rsid w:val="001802A4"/>
    <w:rsid w:val="00190F1F"/>
    <w:rsid w:val="00191BDF"/>
    <w:rsid w:val="00194038"/>
    <w:rsid w:val="001B1DC7"/>
    <w:rsid w:val="001B63D8"/>
    <w:rsid w:val="001C685A"/>
    <w:rsid w:val="001D136E"/>
    <w:rsid w:val="001D3207"/>
    <w:rsid w:val="001D4816"/>
    <w:rsid w:val="001D5640"/>
    <w:rsid w:val="001D774C"/>
    <w:rsid w:val="001E38D2"/>
    <w:rsid w:val="001F1BF4"/>
    <w:rsid w:val="001F2526"/>
    <w:rsid w:val="001F31E2"/>
    <w:rsid w:val="00200B46"/>
    <w:rsid w:val="00205724"/>
    <w:rsid w:val="00213EEF"/>
    <w:rsid w:val="00216171"/>
    <w:rsid w:val="00217880"/>
    <w:rsid w:val="00217D61"/>
    <w:rsid w:val="00217DC2"/>
    <w:rsid w:val="002244DA"/>
    <w:rsid w:val="00226AF8"/>
    <w:rsid w:val="00236AD3"/>
    <w:rsid w:val="002423E5"/>
    <w:rsid w:val="00245184"/>
    <w:rsid w:val="00246CBD"/>
    <w:rsid w:val="00246DFE"/>
    <w:rsid w:val="002556A9"/>
    <w:rsid w:val="0026079D"/>
    <w:rsid w:val="002713F7"/>
    <w:rsid w:val="00272246"/>
    <w:rsid w:val="002736D4"/>
    <w:rsid w:val="00281E69"/>
    <w:rsid w:val="00282F63"/>
    <w:rsid w:val="00284B60"/>
    <w:rsid w:val="002A362E"/>
    <w:rsid w:val="002B5138"/>
    <w:rsid w:val="002C7457"/>
    <w:rsid w:val="002D5F06"/>
    <w:rsid w:val="002E24F4"/>
    <w:rsid w:val="002E40B5"/>
    <w:rsid w:val="002E6439"/>
    <w:rsid w:val="002F4F87"/>
    <w:rsid w:val="002F5FE4"/>
    <w:rsid w:val="00305810"/>
    <w:rsid w:val="00305BD7"/>
    <w:rsid w:val="0030642F"/>
    <w:rsid w:val="003149C6"/>
    <w:rsid w:val="0031560F"/>
    <w:rsid w:val="00315C6B"/>
    <w:rsid w:val="00343C5C"/>
    <w:rsid w:val="003447CA"/>
    <w:rsid w:val="0034603C"/>
    <w:rsid w:val="0035176D"/>
    <w:rsid w:val="00370421"/>
    <w:rsid w:val="00370B40"/>
    <w:rsid w:val="00382D3A"/>
    <w:rsid w:val="00391303"/>
    <w:rsid w:val="00394862"/>
    <w:rsid w:val="003A015A"/>
    <w:rsid w:val="003A0933"/>
    <w:rsid w:val="003B1DF6"/>
    <w:rsid w:val="003C7FCD"/>
    <w:rsid w:val="003D09AD"/>
    <w:rsid w:val="003D5C0C"/>
    <w:rsid w:val="003D6993"/>
    <w:rsid w:val="003E0C68"/>
    <w:rsid w:val="003E1754"/>
    <w:rsid w:val="003E786B"/>
    <w:rsid w:val="003E7BFA"/>
    <w:rsid w:val="003F011D"/>
    <w:rsid w:val="003F1612"/>
    <w:rsid w:val="003F3F85"/>
    <w:rsid w:val="003F4DD3"/>
    <w:rsid w:val="003F7DA0"/>
    <w:rsid w:val="00404675"/>
    <w:rsid w:val="00406CDB"/>
    <w:rsid w:val="00437712"/>
    <w:rsid w:val="00455033"/>
    <w:rsid w:val="00455FD9"/>
    <w:rsid w:val="00461AA0"/>
    <w:rsid w:val="00462B1C"/>
    <w:rsid w:val="004668A9"/>
    <w:rsid w:val="00467AC0"/>
    <w:rsid w:val="00467D9D"/>
    <w:rsid w:val="004700F9"/>
    <w:rsid w:val="00471596"/>
    <w:rsid w:val="00472309"/>
    <w:rsid w:val="00473AE8"/>
    <w:rsid w:val="004901B2"/>
    <w:rsid w:val="00491CBA"/>
    <w:rsid w:val="0049773D"/>
    <w:rsid w:val="004A1D2A"/>
    <w:rsid w:val="004B3FD9"/>
    <w:rsid w:val="004B5D89"/>
    <w:rsid w:val="004B6570"/>
    <w:rsid w:val="004C1871"/>
    <w:rsid w:val="004C3EBA"/>
    <w:rsid w:val="004D1DC1"/>
    <w:rsid w:val="004D2430"/>
    <w:rsid w:val="004D421A"/>
    <w:rsid w:val="004D6071"/>
    <w:rsid w:val="004E1AB5"/>
    <w:rsid w:val="004E5717"/>
    <w:rsid w:val="005010A6"/>
    <w:rsid w:val="005022D9"/>
    <w:rsid w:val="00511DDE"/>
    <w:rsid w:val="00521661"/>
    <w:rsid w:val="00534EB0"/>
    <w:rsid w:val="00535D21"/>
    <w:rsid w:val="00541495"/>
    <w:rsid w:val="0054195B"/>
    <w:rsid w:val="00542143"/>
    <w:rsid w:val="005424EF"/>
    <w:rsid w:val="00544128"/>
    <w:rsid w:val="00550EFD"/>
    <w:rsid w:val="0055262C"/>
    <w:rsid w:val="005538D0"/>
    <w:rsid w:val="00562C70"/>
    <w:rsid w:val="00564429"/>
    <w:rsid w:val="0056505D"/>
    <w:rsid w:val="00573E58"/>
    <w:rsid w:val="00574EF4"/>
    <w:rsid w:val="00580477"/>
    <w:rsid w:val="00585F65"/>
    <w:rsid w:val="00590AB4"/>
    <w:rsid w:val="005A45B8"/>
    <w:rsid w:val="005A6D8B"/>
    <w:rsid w:val="005B3770"/>
    <w:rsid w:val="005B7A9D"/>
    <w:rsid w:val="005C411F"/>
    <w:rsid w:val="005E0AC2"/>
    <w:rsid w:val="005E6348"/>
    <w:rsid w:val="005F13F4"/>
    <w:rsid w:val="005F4CFD"/>
    <w:rsid w:val="005F5DF5"/>
    <w:rsid w:val="006078EF"/>
    <w:rsid w:val="00607E6D"/>
    <w:rsid w:val="0061453A"/>
    <w:rsid w:val="006156E4"/>
    <w:rsid w:val="0061577C"/>
    <w:rsid w:val="0062209D"/>
    <w:rsid w:val="006254BE"/>
    <w:rsid w:val="00630130"/>
    <w:rsid w:val="00631EE0"/>
    <w:rsid w:val="00632045"/>
    <w:rsid w:val="00643444"/>
    <w:rsid w:val="00653D13"/>
    <w:rsid w:val="00655A54"/>
    <w:rsid w:val="0066004A"/>
    <w:rsid w:val="006752C3"/>
    <w:rsid w:val="00695F7D"/>
    <w:rsid w:val="00697947"/>
    <w:rsid w:val="006A14D4"/>
    <w:rsid w:val="006A3C4D"/>
    <w:rsid w:val="006A4E6B"/>
    <w:rsid w:val="006A6771"/>
    <w:rsid w:val="006C2865"/>
    <w:rsid w:val="006C37E3"/>
    <w:rsid w:val="006C4795"/>
    <w:rsid w:val="006C5F0D"/>
    <w:rsid w:val="006C62A7"/>
    <w:rsid w:val="006C7EF6"/>
    <w:rsid w:val="006D0327"/>
    <w:rsid w:val="006D33B5"/>
    <w:rsid w:val="006E086D"/>
    <w:rsid w:val="006E2BFA"/>
    <w:rsid w:val="00700DE1"/>
    <w:rsid w:val="0070362E"/>
    <w:rsid w:val="00710D0E"/>
    <w:rsid w:val="007143CA"/>
    <w:rsid w:val="00726B01"/>
    <w:rsid w:val="00733972"/>
    <w:rsid w:val="00755F88"/>
    <w:rsid w:val="0075668F"/>
    <w:rsid w:val="00771D8D"/>
    <w:rsid w:val="00780AB2"/>
    <w:rsid w:val="007931CD"/>
    <w:rsid w:val="007966A7"/>
    <w:rsid w:val="007A243A"/>
    <w:rsid w:val="007A24A1"/>
    <w:rsid w:val="007A7449"/>
    <w:rsid w:val="007B139C"/>
    <w:rsid w:val="007B18EF"/>
    <w:rsid w:val="007B6E04"/>
    <w:rsid w:val="007C0EF7"/>
    <w:rsid w:val="007D0573"/>
    <w:rsid w:val="007D1900"/>
    <w:rsid w:val="007D2C8B"/>
    <w:rsid w:val="007D3FF8"/>
    <w:rsid w:val="007D4C71"/>
    <w:rsid w:val="007D7F19"/>
    <w:rsid w:val="007F6308"/>
    <w:rsid w:val="00805BFE"/>
    <w:rsid w:val="00806D9C"/>
    <w:rsid w:val="00811B50"/>
    <w:rsid w:val="00812ECB"/>
    <w:rsid w:val="008320BA"/>
    <w:rsid w:val="00833E8C"/>
    <w:rsid w:val="008349FF"/>
    <w:rsid w:val="00835D3A"/>
    <w:rsid w:val="00840B9D"/>
    <w:rsid w:val="008442A9"/>
    <w:rsid w:val="00852161"/>
    <w:rsid w:val="00852457"/>
    <w:rsid w:val="00855636"/>
    <w:rsid w:val="00863D47"/>
    <w:rsid w:val="00865F65"/>
    <w:rsid w:val="0087572E"/>
    <w:rsid w:val="0088252F"/>
    <w:rsid w:val="008831A0"/>
    <w:rsid w:val="00886FFC"/>
    <w:rsid w:val="008A1FD7"/>
    <w:rsid w:val="008A2478"/>
    <w:rsid w:val="008A6C4D"/>
    <w:rsid w:val="008A762C"/>
    <w:rsid w:val="008B4253"/>
    <w:rsid w:val="008B4619"/>
    <w:rsid w:val="008B4B55"/>
    <w:rsid w:val="008C4710"/>
    <w:rsid w:val="008C7C27"/>
    <w:rsid w:val="008D3743"/>
    <w:rsid w:val="008D6E07"/>
    <w:rsid w:val="008E759C"/>
    <w:rsid w:val="008F058E"/>
    <w:rsid w:val="008F1F65"/>
    <w:rsid w:val="008F3590"/>
    <w:rsid w:val="008F37E7"/>
    <w:rsid w:val="0090701D"/>
    <w:rsid w:val="00914766"/>
    <w:rsid w:val="00931ED7"/>
    <w:rsid w:val="00941E1A"/>
    <w:rsid w:val="00945CD1"/>
    <w:rsid w:val="00950CD6"/>
    <w:rsid w:val="0095283A"/>
    <w:rsid w:val="0095659F"/>
    <w:rsid w:val="009601DC"/>
    <w:rsid w:val="00964ECB"/>
    <w:rsid w:val="009742D2"/>
    <w:rsid w:val="009755B7"/>
    <w:rsid w:val="00986501"/>
    <w:rsid w:val="00996A6A"/>
    <w:rsid w:val="009A5D83"/>
    <w:rsid w:val="009B25DE"/>
    <w:rsid w:val="009C6869"/>
    <w:rsid w:val="009C7395"/>
    <w:rsid w:val="009C78A4"/>
    <w:rsid w:val="009E0BB0"/>
    <w:rsid w:val="009E12D6"/>
    <w:rsid w:val="009E42CE"/>
    <w:rsid w:val="009E64B9"/>
    <w:rsid w:val="009F4841"/>
    <w:rsid w:val="00A00CD7"/>
    <w:rsid w:val="00A1731D"/>
    <w:rsid w:val="00A216F2"/>
    <w:rsid w:val="00A22381"/>
    <w:rsid w:val="00A232CB"/>
    <w:rsid w:val="00A31E2E"/>
    <w:rsid w:val="00A33B7B"/>
    <w:rsid w:val="00A33DA2"/>
    <w:rsid w:val="00A34AC3"/>
    <w:rsid w:val="00A34FB6"/>
    <w:rsid w:val="00A3775A"/>
    <w:rsid w:val="00A4000A"/>
    <w:rsid w:val="00A43477"/>
    <w:rsid w:val="00A43A1E"/>
    <w:rsid w:val="00A52D85"/>
    <w:rsid w:val="00A56BB2"/>
    <w:rsid w:val="00A605E8"/>
    <w:rsid w:val="00A609A1"/>
    <w:rsid w:val="00A60F83"/>
    <w:rsid w:val="00A62B11"/>
    <w:rsid w:val="00A66864"/>
    <w:rsid w:val="00A668B3"/>
    <w:rsid w:val="00A72EB9"/>
    <w:rsid w:val="00A8526D"/>
    <w:rsid w:val="00A8593B"/>
    <w:rsid w:val="00A87F23"/>
    <w:rsid w:val="00A918E3"/>
    <w:rsid w:val="00A96CF6"/>
    <w:rsid w:val="00A9705B"/>
    <w:rsid w:val="00AA4135"/>
    <w:rsid w:val="00AB0A18"/>
    <w:rsid w:val="00AB21FF"/>
    <w:rsid w:val="00AB4329"/>
    <w:rsid w:val="00AC112B"/>
    <w:rsid w:val="00AC230E"/>
    <w:rsid w:val="00AD1AC0"/>
    <w:rsid w:val="00AD260B"/>
    <w:rsid w:val="00AD52C4"/>
    <w:rsid w:val="00AD5333"/>
    <w:rsid w:val="00AE0F4E"/>
    <w:rsid w:val="00AE3721"/>
    <w:rsid w:val="00AE5A31"/>
    <w:rsid w:val="00AF0C39"/>
    <w:rsid w:val="00AF31C5"/>
    <w:rsid w:val="00AF72D5"/>
    <w:rsid w:val="00B049AD"/>
    <w:rsid w:val="00B06E13"/>
    <w:rsid w:val="00B075C0"/>
    <w:rsid w:val="00B077CF"/>
    <w:rsid w:val="00B10540"/>
    <w:rsid w:val="00B10A8B"/>
    <w:rsid w:val="00B11786"/>
    <w:rsid w:val="00B2276D"/>
    <w:rsid w:val="00B25E2A"/>
    <w:rsid w:val="00B323E0"/>
    <w:rsid w:val="00B32497"/>
    <w:rsid w:val="00B40FCA"/>
    <w:rsid w:val="00B41C37"/>
    <w:rsid w:val="00B539B2"/>
    <w:rsid w:val="00B548E5"/>
    <w:rsid w:val="00B6060E"/>
    <w:rsid w:val="00B70D4E"/>
    <w:rsid w:val="00B73B5D"/>
    <w:rsid w:val="00B81CC8"/>
    <w:rsid w:val="00B8408D"/>
    <w:rsid w:val="00B87ABC"/>
    <w:rsid w:val="00B900B3"/>
    <w:rsid w:val="00B952FF"/>
    <w:rsid w:val="00B962F9"/>
    <w:rsid w:val="00BA3B49"/>
    <w:rsid w:val="00BA4CEA"/>
    <w:rsid w:val="00BB3293"/>
    <w:rsid w:val="00BB4D8E"/>
    <w:rsid w:val="00BB5DB5"/>
    <w:rsid w:val="00BB600C"/>
    <w:rsid w:val="00BB6518"/>
    <w:rsid w:val="00BC2FC1"/>
    <w:rsid w:val="00BC3C00"/>
    <w:rsid w:val="00BC58F8"/>
    <w:rsid w:val="00BC5AAB"/>
    <w:rsid w:val="00BC6834"/>
    <w:rsid w:val="00BD25EA"/>
    <w:rsid w:val="00BE358E"/>
    <w:rsid w:val="00BE51D2"/>
    <w:rsid w:val="00BE65DD"/>
    <w:rsid w:val="00BF4481"/>
    <w:rsid w:val="00BF5777"/>
    <w:rsid w:val="00BF7BE9"/>
    <w:rsid w:val="00C00BD3"/>
    <w:rsid w:val="00C13A41"/>
    <w:rsid w:val="00C14711"/>
    <w:rsid w:val="00C17A85"/>
    <w:rsid w:val="00C2155F"/>
    <w:rsid w:val="00C25F8F"/>
    <w:rsid w:val="00C2609D"/>
    <w:rsid w:val="00C3754A"/>
    <w:rsid w:val="00C427B3"/>
    <w:rsid w:val="00C4635A"/>
    <w:rsid w:val="00C55470"/>
    <w:rsid w:val="00C6080C"/>
    <w:rsid w:val="00C608C5"/>
    <w:rsid w:val="00C613C9"/>
    <w:rsid w:val="00C633D3"/>
    <w:rsid w:val="00C63D2D"/>
    <w:rsid w:val="00C63F06"/>
    <w:rsid w:val="00C7215B"/>
    <w:rsid w:val="00C81872"/>
    <w:rsid w:val="00C83DEA"/>
    <w:rsid w:val="00C84C25"/>
    <w:rsid w:val="00C91619"/>
    <w:rsid w:val="00C9658D"/>
    <w:rsid w:val="00CB16C7"/>
    <w:rsid w:val="00CB1966"/>
    <w:rsid w:val="00CB7FBC"/>
    <w:rsid w:val="00CC7485"/>
    <w:rsid w:val="00CC7AB4"/>
    <w:rsid w:val="00CD0495"/>
    <w:rsid w:val="00CD1A83"/>
    <w:rsid w:val="00CD4101"/>
    <w:rsid w:val="00CD4AD3"/>
    <w:rsid w:val="00CE0606"/>
    <w:rsid w:val="00CE472D"/>
    <w:rsid w:val="00CE7CAD"/>
    <w:rsid w:val="00CF08A0"/>
    <w:rsid w:val="00CF72F9"/>
    <w:rsid w:val="00D0513E"/>
    <w:rsid w:val="00D06FD0"/>
    <w:rsid w:val="00D11A58"/>
    <w:rsid w:val="00D11E3A"/>
    <w:rsid w:val="00D152C2"/>
    <w:rsid w:val="00D15A20"/>
    <w:rsid w:val="00D17949"/>
    <w:rsid w:val="00D20BB5"/>
    <w:rsid w:val="00D20D6F"/>
    <w:rsid w:val="00D343A7"/>
    <w:rsid w:val="00D35CB9"/>
    <w:rsid w:val="00D37084"/>
    <w:rsid w:val="00D403E4"/>
    <w:rsid w:val="00D404BE"/>
    <w:rsid w:val="00D44876"/>
    <w:rsid w:val="00D46F42"/>
    <w:rsid w:val="00D4777F"/>
    <w:rsid w:val="00D5329C"/>
    <w:rsid w:val="00D532F0"/>
    <w:rsid w:val="00D55531"/>
    <w:rsid w:val="00D62CAB"/>
    <w:rsid w:val="00D64DD4"/>
    <w:rsid w:val="00D651E0"/>
    <w:rsid w:val="00D7044F"/>
    <w:rsid w:val="00D73A53"/>
    <w:rsid w:val="00D74EE2"/>
    <w:rsid w:val="00D75F01"/>
    <w:rsid w:val="00D76905"/>
    <w:rsid w:val="00D82027"/>
    <w:rsid w:val="00D92902"/>
    <w:rsid w:val="00DA16B5"/>
    <w:rsid w:val="00DB1D86"/>
    <w:rsid w:val="00DB27EF"/>
    <w:rsid w:val="00DB58F5"/>
    <w:rsid w:val="00DC120C"/>
    <w:rsid w:val="00DC4DB2"/>
    <w:rsid w:val="00DC6FC5"/>
    <w:rsid w:val="00DD2696"/>
    <w:rsid w:val="00DD2934"/>
    <w:rsid w:val="00DD503D"/>
    <w:rsid w:val="00DD5A07"/>
    <w:rsid w:val="00DD608D"/>
    <w:rsid w:val="00DD764D"/>
    <w:rsid w:val="00DE6798"/>
    <w:rsid w:val="00DF2289"/>
    <w:rsid w:val="00DF25CF"/>
    <w:rsid w:val="00DF762C"/>
    <w:rsid w:val="00E00AB2"/>
    <w:rsid w:val="00E013AC"/>
    <w:rsid w:val="00E04053"/>
    <w:rsid w:val="00E05004"/>
    <w:rsid w:val="00E056F9"/>
    <w:rsid w:val="00E10005"/>
    <w:rsid w:val="00E1055A"/>
    <w:rsid w:val="00E11F06"/>
    <w:rsid w:val="00E124BE"/>
    <w:rsid w:val="00E13DBA"/>
    <w:rsid w:val="00E2064F"/>
    <w:rsid w:val="00E25817"/>
    <w:rsid w:val="00E428CD"/>
    <w:rsid w:val="00E457E8"/>
    <w:rsid w:val="00E45983"/>
    <w:rsid w:val="00E52384"/>
    <w:rsid w:val="00E55B81"/>
    <w:rsid w:val="00E55E79"/>
    <w:rsid w:val="00E56F0B"/>
    <w:rsid w:val="00E570EF"/>
    <w:rsid w:val="00E57CAB"/>
    <w:rsid w:val="00E60125"/>
    <w:rsid w:val="00E60669"/>
    <w:rsid w:val="00E64963"/>
    <w:rsid w:val="00E64BB8"/>
    <w:rsid w:val="00E67D44"/>
    <w:rsid w:val="00E70C97"/>
    <w:rsid w:val="00E71A60"/>
    <w:rsid w:val="00E84555"/>
    <w:rsid w:val="00E8514F"/>
    <w:rsid w:val="00E90C6F"/>
    <w:rsid w:val="00E91063"/>
    <w:rsid w:val="00E933E1"/>
    <w:rsid w:val="00EA6608"/>
    <w:rsid w:val="00EA75F5"/>
    <w:rsid w:val="00EB1B58"/>
    <w:rsid w:val="00EB519C"/>
    <w:rsid w:val="00EB672F"/>
    <w:rsid w:val="00EC0154"/>
    <w:rsid w:val="00ED034A"/>
    <w:rsid w:val="00ED2E0C"/>
    <w:rsid w:val="00ED3776"/>
    <w:rsid w:val="00ED5A9F"/>
    <w:rsid w:val="00ED79E7"/>
    <w:rsid w:val="00EE02DB"/>
    <w:rsid w:val="00EE1470"/>
    <w:rsid w:val="00EE3DD4"/>
    <w:rsid w:val="00EE4799"/>
    <w:rsid w:val="00EF3445"/>
    <w:rsid w:val="00EF440E"/>
    <w:rsid w:val="00EF6A02"/>
    <w:rsid w:val="00EF7190"/>
    <w:rsid w:val="00F00C95"/>
    <w:rsid w:val="00F103C5"/>
    <w:rsid w:val="00F10595"/>
    <w:rsid w:val="00F10A03"/>
    <w:rsid w:val="00F16C80"/>
    <w:rsid w:val="00F31B87"/>
    <w:rsid w:val="00F32FFE"/>
    <w:rsid w:val="00F3725F"/>
    <w:rsid w:val="00F42C03"/>
    <w:rsid w:val="00F4628E"/>
    <w:rsid w:val="00F50B47"/>
    <w:rsid w:val="00F53CED"/>
    <w:rsid w:val="00F53CF7"/>
    <w:rsid w:val="00F544BE"/>
    <w:rsid w:val="00F62F54"/>
    <w:rsid w:val="00F65DE7"/>
    <w:rsid w:val="00F70852"/>
    <w:rsid w:val="00F73FC2"/>
    <w:rsid w:val="00F76177"/>
    <w:rsid w:val="00F80591"/>
    <w:rsid w:val="00F82FFC"/>
    <w:rsid w:val="00F84E7D"/>
    <w:rsid w:val="00F86249"/>
    <w:rsid w:val="00F90466"/>
    <w:rsid w:val="00F908B7"/>
    <w:rsid w:val="00F9333F"/>
    <w:rsid w:val="00F96B69"/>
    <w:rsid w:val="00F96DCE"/>
    <w:rsid w:val="00FA1E34"/>
    <w:rsid w:val="00FA268F"/>
    <w:rsid w:val="00FA6561"/>
    <w:rsid w:val="00FA6978"/>
    <w:rsid w:val="00FB3C2A"/>
    <w:rsid w:val="00FB50E6"/>
    <w:rsid w:val="00FC3985"/>
    <w:rsid w:val="00FC6241"/>
    <w:rsid w:val="00FD0AA3"/>
    <w:rsid w:val="00FD0E9B"/>
    <w:rsid w:val="00FE24B9"/>
    <w:rsid w:val="00FF0FB5"/>
    <w:rsid w:val="00FF4E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60A42EB-01B7-4977-BF99-5A66421DF1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before="120" w:after="120" w:line="240" w:lineRule="auto"/>
      <w:jc w:val="both"/>
    </w:pPr>
    <w:rPr>
      <w:sz w:val="24"/>
      <w:szCs w:val="24"/>
      <w:lang w:val="en-GB" w:eastAsia="en-US"/>
    </w:rPr>
  </w:style>
  <w:style w:type="paragraph" w:styleId="Nadpis1">
    <w:name w:val="heading 1"/>
    <w:basedOn w:val="Normlny"/>
    <w:next w:val="Text1"/>
    <w:link w:val="Nadpis1Char"/>
    <w:uiPriority w:val="99"/>
    <w:qFormat/>
    <w:rsid w:val="00CE7CAD"/>
    <w:pPr>
      <w:keepNext/>
      <w:numPr>
        <w:numId w:val="15"/>
      </w:numPr>
      <w:spacing w:before="360"/>
      <w:outlineLvl w:val="0"/>
    </w:pPr>
    <w:rPr>
      <w:b/>
      <w:bCs/>
      <w:smallCaps/>
      <w:szCs w:val="32"/>
    </w:rPr>
  </w:style>
  <w:style w:type="paragraph" w:styleId="Nadpis2">
    <w:name w:val="heading 2"/>
    <w:basedOn w:val="Normlny"/>
    <w:next w:val="Text1"/>
    <w:link w:val="Nadpis2Char"/>
    <w:uiPriority w:val="99"/>
    <w:qFormat/>
    <w:rsid w:val="00CE7CAD"/>
    <w:pPr>
      <w:keepNext/>
      <w:numPr>
        <w:ilvl w:val="1"/>
        <w:numId w:val="15"/>
      </w:numPr>
      <w:outlineLvl w:val="1"/>
    </w:pPr>
    <w:rPr>
      <w:b/>
      <w:bCs/>
      <w:iCs/>
      <w:szCs w:val="28"/>
    </w:rPr>
  </w:style>
  <w:style w:type="paragraph" w:styleId="Nadpis3">
    <w:name w:val="heading 3"/>
    <w:basedOn w:val="Normlny"/>
    <w:next w:val="Text1"/>
    <w:link w:val="Nadpis3Char"/>
    <w:uiPriority w:val="99"/>
    <w:qFormat/>
    <w:rsid w:val="00CE7CAD"/>
    <w:pPr>
      <w:keepNext/>
      <w:numPr>
        <w:ilvl w:val="2"/>
        <w:numId w:val="15"/>
      </w:numPr>
      <w:outlineLvl w:val="2"/>
    </w:pPr>
    <w:rPr>
      <w:bCs/>
      <w:i/>
      <w:szCs w:val="26"/>
    </w:rPr>
  </w:style>
  <w:style w:type="paragraph" w:styleId="Nadpis4">
    <w:name w:val="heading 4"/>
    <w:basedOn w:val="Normlny"/>
    <w:next w:val="Text1"/>
    <w:link w:val="Nadpis4Char"/>
    <w:uiPriority w:val="99"/>
    <w:qFormat/>
    <w:rsid w:val="00CE7CAD"/>
    <w:pPr>
      <w:keepNext/>
      <w:numPr>
        <w:ilvl w:val="3"/>
        <w:numId w:val="15"/>
      </w:numPr>
      <w:outlineLvl w:val="3"/>
    </w:pPr>
    <w:rPr>
      <w:bCs/>
      <w:szCs w:val="28"/>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Pr>
      <w:b/>
      <w:bCs/>
      <w:smallCaps/>
      <w:sz w:val="24"/>
      <w:szCs w:val="32"/>
      <w:lang w:val="en-GB" w:eastAsia="en-US"/>
    </w:rPr>
  </w:style>
  <w:style w:type="character" w:customStyle="1" w:styleId="Nadpis2Char">
    <w:name w:val="Nadpis 2 Char"/>
    <w:basedOn w:val="Predvolenpsmoodseku"/>
    <w:link w:val="Nadpis2"/>
    <w:uiPriority w:val="99"/>
    <w:rPr>
      <w:b/>
      <w:bCs/>
      <w:iCs/>
      <w:sz w:val="24"/>
      <w:szCs w:val="28"/>
      <w:lang w:val="en-GB" w:eastAsia="en-US"/>
    </w:rPr>
  </w:style>
  <w:style w:type="character" w:customStyle="1" w:styleId="Nadpis3Char">
    <w:name w:val="Nadpis 3 Char"/>
    <w:basedOn w:val="Predvolenpsmoodseku"/>
    <w:link w:val="Nadpis3"/>
    <w:uiPriority w:val="99"/>
    <w:rPr>
      <w:bCs/>
      <w:i/>
      <w:sz w:val="24"/>
      <w:szCs w:val="26"/>
      <w:lang w:val="en-GB" w:eastAsia="en-US"/>
    </w:rPr>
  </w:style>
  <w:style w:type="character" w:customStyle="1" w:styleId="Nadpis4Char">
    <w:name w:val="Nadpis 4 Char"/>
    <w:basedOn w:val="Predvolenpsmoodseku"/>
    <w:link w:val="Nadpis4"/>
    <w:uiPriority w:val="99"/>
    <w:rPr>
      <w:bCs/>
      <w:sz w:val="24"/>
      <w:szCs w:val="28"/>
      <w:lang w:val="en-GB" w:eastAsia="en-US"/>
    </w:rPr>
  </w:style>
  <w:style w:type="paragraph" w:styleId="Hlavika">
    <w:name w:val="header"/>
    <w:basedOn w:val="Normlny"/>
    <w:link w:val="HlavikaChar"/>
    <w:uiPriority w:val="99"/>
    <w:rsid w:val="00ED5A9F"/>
    <w:pPr>
      <w:tabs>
        <w:tab w:val="center" w:pos="4535"/>
        <w:tab w:val="right" w:pos="9071"/>
      </w:tabs>
    </w:pPr>
  </w:style>
  <w:style w:type="character" w:customStyle="1" w:styleId="HlavikaChar">
    <w:name w:val="Hlavička Char"/>
    <w:basedOn w:val="Predvolenpsmoodseku"/>
    <w:link w:val="Hlavika"/>
    <w:uiPriority w:val="99"/>
    <w:semiHidden/>
    <w:rPr>
      <w:sz w:val="24"/>
      <w:szCs w:val="24"/>
      <w:lang w:val="en-GB" w:eastAsia="en-US"/>
    </w:rPr>
  </w:style>
  <w:style w:type="paragraph" w:styleId="Pta">
    <w:name w:val="footer"/>
    <w:basedOn w:val="Normlny"/>
    <w:link w:val="PtaChar"/>
    <w:uiPriority w:val="99"/>
    <w:rsid w:val="00CE7CAD"/>
    <w:pPr>
      <w:tabs>
        <w:tab w:val="center" w:pos="4535"/>
        <w:tab w:val="right" w:pos="9071"/>
        <w:tab w:val="right" w:pos="9921"/>
      </w:tabs>
      <w:spacing w:before="360" w:after="0"/>
      <w:ind w:left="-850" w:right="-850"/>
      <w:jc w:val="left"/>
    </w:pPr>
  </w:style>
  <w:style w:type="character" w:customStyle="1" w:styleId="PtaChar">
    <w:name w:val="Päta Char"/>
    <w:basedOn w:val="Predvolenpsmoodseku"/>
    <w:link w:val="Pta"/>
    <w:uiPriority w:val="99"/>
    <w:semiHidden/>
    <w:rPr>
      <w:sz w:val="24"/>
      <w:szCs w:val="24"/>
      <w:lang w:val="en-GB" w:eastAsia="en-US"/>
    </w:rPr>
  </w:style>
  <w:style w:type="paragraph" w:styleId="Textpoznmkypodiarou">
    <w:name w:val="footnote text"/>
    <w:basedOn w:val="Normlny"/>
    <w:link w:val="TextpoznmkypodiarouChar"/>
    <w:uiPriority w:val="99"/>
    <w:semiHidden/>
    <w:rsid w:val="00CE7CAD"/>
    <w:pPr>
      <w:spacing w:before="0" w:after="0"/>
      <w:ind w:left="720" w:hanging="720"/>
    </w:pPr>
    <w:rPr>
      <w:sz w:val="20"/>
      <w:szCs w:val="20"/>
    </w:rPr>
  </w:style>
  <w:style w:type="character" w:customStyle="1" w:styleId="TextpoznmkypodiarouChar">
    <w:name w:val="Text poznámky pod čiarou Char"/>
    <w:basedOn w:val="Predvolenpsmoodseku"/>
    <w:link w:val="Textpoznmkypodiarou"/>
    <w:uiPriority w:val="99"/>
    <w:semiHidden/>
    <w:rPr>
      <w:sz w:val="20"/>
      <w:szCs w:val="20"/>
      <w:lang w:val="en-GB" w:eastAsia="en-US"/>
    </w:rPr>
  </w:style>
  <w:style w:type="paragraph" w:styleId="Obsah1">
    <w:name w:val="toc 1"/>
    <w:basedOn w:val="Normlny"/>
    <w:next w:val="Normlny"/>
    <w:uiPriority w:val="99"/>
    <w:semiHidden/>
    <w:rsid w:val="00CE7CAD"/>
    <w:pPr>
      <w:tabs>
        <w:tab w:val="right" w:leader="dot" w:pos="9071"/>
      </w:tabs>
      <w:spacing w:before="60"/>
      <w:ind w:left="850" w:hanging="850"/>
      <w:jc w:val="left"/>
    </w:pPr>
  </w:style>
  <w:style w:type="paragraph" w:styleId="Obsah2">
    <w:name w:val="toc 2"/>
    <w:basedOn w:val="Normlny"/>
    <w:next w:val="Normlny"/>
    <w:uiPriority w:val="99"/>
    <w:semiHidden/>
    <w:rsid w:val="00CE7CAD"/>
    <w:pPr>
      <w:tabs>
        <w:tab w:val="right" w:leader="dot" w:pos="9071"/>
      </w:tabs>
      <w:spacing w:before="60"/>
      <w:ind w:left="850" w:hanging="850"/>
      <w:jc w:val="left"/>
    </w:pPr>
  </w:style>
  <w:style w:type="paragraph" w:styleId="Obsah3">
    <w:name w:val="toc 3"/>
    <w:basedOn w:val="Normlny"/>
    <w:next w:val="Normlny"/>
    <w:uiPriority w:val="99"/>
    <w:semiHidden/>
    <w:rsid w:val="00CE7CAD"/>
    <w:pPr>
      <w:tabs>
        <w:tab w:val="right" w:leader="dot" w:pos="9071"/>
      </w:tabs>
      <w:spacing w:before="60"/>
      <w:ind w:left="850" w:hanging="850"/>
      <w:jc w:val="left"/>
    </w:pPr>
  </w:style>
  <w:style w:type="paragraph" w:styleId="Obsah4">
    <w:name w:val="toc 4"/>
    <w:basedOn w:val="Normlny"/>
    <w:next w:val="Normlny"/>
    <w:uiPriority w:val="99"/>
    <w:semiHidden/>
    <w:rsid w:val="00CE7CAD"/>
    <w:pPr>
      <w:tabs>
        <w:tab w:val="right" w:leader="dot" w:pos="9071"/>
      </w:tabs>
      <w:spacing w:before="60"/>
      <w:ind w:left="850" w:hanging="850"/>
      <w:jc w:val="left"/>
    </w:pPr>
  </w:style>
  <w:style w:type="paragraph" w:styleId="Obsah5">
    <w:name w:val="toc 5"/>
    <w:basedOn w:val="Normlny"/>
    <w:next w:val="Normlny"/>
    <w:uiPriority w:val="99"/>
    <w:semiHidden/>
    <w:rsid w:val="00CE7CAD"/>
    <w:pPr>
      <w:tabs>
        <w:tab w:val="right" w:leader="dot" w:pos="9071"/>
      </w:tabs>
      <w:spacing w:before="300"/>
      <w:jc w:val="left"/>
    </w:pPr>
  </w:style>
  <w:style w:type="paragraph" w:styleId="Obsah6">
    <w:name w:val="toc 6"/>
    <w:basedOn w:val="Normlny"/>
    <w:next w:val="Normlny"/>
    <w:uiPriority w:val="99"/>
    <w:semiHidden/>
    <w:rsid w:val="00CE7CAD"/>
    <w:pPr>
      <w:tabs>
        <w:tab w:val="right" w:leader="dot" w:pos="9071"/>
      </w:tabs>
      <w:spacing w:before="240"/>
      <w:jc w:val="left"/>
    </w:pPr>
  </w:style>
  <w:style w:type="paragraph" w:styleId="Obsah7">
    <w:name w:val="toc 7"/>
    <w:basedOn w:val="Normlny"/>
    <w:next w:val="Normlny"/>
    <w:uiPriority w:val="99"/>
    <w:semiHidden/>
    <w:rsid w:val="00CE7CAD"/>
    <w:pPr>
      <w:tabs>
        <w:tab w:val="right" w:leader="dot" w:pos="9071"/>
      </w:tabs>
      <w:spacing w:before="180"/>
      <w:jc w:val="left"/>
    </w:pPr>
  </w:style>
  <w:style w:type="paragraph" w:styleId="Obsah8">
    <w:name w:val="toc 8"/>
    <w:basedOn w:val="Normlny"/>
    <w:next w:val="Normlny"/>
    <w:uiPriority w:val="99"/>
    <w:semiHidden/>
    <w:rsid w:val="00CE7CAD"/>
    <w:pPr>
      <w:tabs>
        <w:tab w:val="right" w:leader="dot" w:pos="9071"/>
      </w:tabs>
      <w:jc w:val="left"/>
    </w:pPr>
  </w:style>
  <w:style w:type="paragraph" w:styleId="Obsah9">
    <w:name w:val="toc 9"/>
    <w:basedOn w:val="Normlny"/>
    <w:next w:val="Normlny"/>
    <w:uiPriority w:val="99"/>
    <w:semiHidden/>
    <w:rsid w:val="00CE7CAD"/>
    <w:pPr>
      <w:tabs>
        <w:tab w:val="right" w:leader="dot" w:pos="9071"/>
      </w:tabs>
    </w:pPr>
  </w:style>
  <w:style w:type="paragraph" w:customStyle="1" w:styleId="HeaderLandscape">
    <w:name w:val="HeaderLandscape"/>
    <w:basedOn w:val="Normlny"/>
    <w:uiPriority w:val="99"/>
    <w:rsid w:val="00ED5A9F"/>
    <w:pPr>
      <w:tabs>
        <w:tab w:val="center" w:pos="7285"/>
        <w:tab w:val="right" w:pos="14003"/>
      </w:tabs>
    </w:pPr>
  </w:style>
  <w:style w:type="paragraph" w:customStyle="1" w:styleId="FooterLandscape">
    <w:name w:val="FooterLandscape"/>
    <w:basedOn w:val="Normlny"/>
    <w:uiPriority w:val="99"/>
    <w:rsid w:val="00CE7CAD"/>
    <w:pPr>
      <w:tabs>
        <w:tab w:val="center" w:pos="7285"/>
        <w:tab w:val="center" w:pos="10913"/>
        <w:tab w:val="right" w:pos="15137"/>
      </w:tabs>
      <w:spacing w:before="360" w:after="0"/>
      <w:ind w:left="-567" w:right="-567"/>
      <w:jc w:val="left"/>
    </w:pPr>
  </w:style>
  <w:style w:type="character" w:styleId="Odkaznapoznmkupodiarou">
    <w:name w:val="footnote reference"/>
    <w:basedOn w:val="Predvolenpsmoodseku"/>
    <w:uiPriority w:val="99"/>
    <w:semiHidden/>
    <w:rsid w:val="00E2064F"/>
    <w:rPr>
      <w:rFonts w:cs="Times New Roman"/>
      <w:shd w:val="clear" w:color="auto" w:fill="auto"/>
      <w:vertAlign w:val="superscript"/>
    </w:rPr>
  </w:style>
  <w:style w:type="paragraph" w:customStyle="1" w:styleId="Text1">
    <w:name w:val="Text 1"/>
    <w:basedOn w:val="Normlny"/>
    <w:uiPriority w:val="99"/>
    <w:rsid w:val="00CE7CAD"/>
    <w:pPr>
      <w:ind w:left="850"/>
    </w:pPr>
  </w:style>
  <w:style w:type="paragraph" w:customStyle="1" w:styleId="Text2">
    <w:name w:val="Text 2"/>
    <w:basedOn w:val="Normlny"/>
    <w:uiPriority w:val="99"/>
    <w:rsid w:val="00CE7CAD"/>
    <w:pPr>
      <w:ind w:left="1417"/>
    </w:pPr>
  </w:style>
  <w:style w:type="paragraph" w:customStyle="1" w:styleId="Text3">
    <w:name w:val="Text 3"/>
    <w:basedOn w:val="Normlny"/>
    <w:uiPriority w:val="99"/>
    <w:rsid w:val="00CE7CAD"/>
    <w:pPr>
      <w:ind w:left="1984"/>
    </w:pPr>
  </w:style>
  <w:style w:type="paragraph" w:customStyle="1" w:styleId="Text4">
    <w:name w:val="Text 4"/>
    <w:basedOn w:val="Normlny"/>
    <w:uiPriority w:val="99"/>
    <w:rsid w:val="00CE7CAD"/>
    <w:pPr>
      <w:ind w:left="2551"/>
    </w:pPr>
  </w:style>
  <w:style w:type="paragraph" w:customStyle="1" w:styleId="NormalCentered">
    <w:name w:val="Normal Centered"/>
    <w:basedOn w:val="Normlny"/>
    <w:uiPriority w:val="99"/>
    <w:rsid w:val="00CE7CAD"/>
    <w:pPr>
      <w:jc w:val="center"/>
    </w:pPr>
  </w:style>
  <w:style w:type="paragraph" w:customStyle="1" w:styleId="NormalLeft">
    <w:name w:val="Normal Left"/>
    <w:basedOn w:val="Normlny"/>
    <w:uiPriority w:val="99"/>
    <w:rsid w:val="00CE7CAD"/>
    <w:pPr>
      <w:jc w:val="left"/>
    </w:pPr>
  </w:style>
  <w:style w:type="paragraph" w:customStyle="1" w:styleId="NormalRight">
    <w:name w:val="Normal Right"/>
    <w:basedOn w:val="Normlny"/>
    <w:uiPriority w:val="99"/>
    <w:rsid w:val="00CE7CAD"/>
    <w:pPr>
      <w:jc w:val="right"/>
    </w:pPr>
  </w:style>
  <w:style w:type="paragraph" w:customStyle="1" w:styleId="QuotedText">
    <w:name w:val="Quoted Text"/>
    <w:basedOn w:val="Normlny"/>
    <w:uiPriority w:val="99"/>
    <w:rsid w:val="00CE7CAD"/>
    <w:pPr>
      <w:ind w:left="1417"/>
    </w:pPr>
  </w:style>
  <w:style w:type="paragraph" w:customStyle="1" w:styleId="Point0">
    <w:name w:val="Point 0"/>
    <w:basedOn w:val="Normlny"/>
    <w:uiPriority w:val="99"/>
    <w:rsid w:val="00CE7CAD"/>
    <w:pPr>
      <w:ind w:left="850" w:hanging="850"/>
    </w:pPr>
  </w:style>
  <w:style w:type="paragraph" w:customStyle="1" w:styleId="Point1">
    <w:name w:val="Point 1"/>
    <w:basedOn w:val="Normlny"/>
    <w:uiPriority w:val="99"/>
    <w:rsid w:val="00CE7CAD"/>
    <w:pPr>
      <w:ind w:left="1417" w:hanging="567"/>
    </w:pPr>
  </w:style>
  <w:style w:type="paragraph" w:customStyle="1" w:styleId="Point2">
    <w:name w:val="Point 2"/>
    <w:basedOn w:val="Normlny"/>
    <w:uiPriority w:val="99"/>
    <w:rsid w:val="00CE7CAD"/>
    <w:pPr>
      <w:ind w:left="1984" w:hanging="567"/>
    </w:pPr>
  </w:style>
  <w:style w:type="paragraph" w:customStyle="1" w:styleId="Point3">
    <w:name w:val="Point 3"/>
    <w:basedOn w:val="Normlny"/>
    <w:uiPriority w:val="99"/>
    <w:rsid w:val="00CE7CAD"/>
    <w:pPr>
      <w:ind w:left="2551" w:hanging="567"/>
    </w:pPr>
  </w:style>
  <w:style w:type="paragraph" w:customStyle="1" w:styleId="Point4">
    <w:name w:val="Point 4"/>
    <w:basedOn w:val="Normlny"/>
    <w:uiPriority w:val="99"/>
    <w:rsid w:val="00CE7CAD"/>
    <w:pPr>
      <w:ind w:left="3118" w:hanging="567"/>
    </w:pPr>
  </w:style>
  <w:style w:type="paragraph" w:customStyle="1" w:styleId="Tiret0">
    <w:name w:val="Tiret 0"/>
    <w:basedOn w:val="Point0"/>
    <w:uiPriority w:val="99"/>
    <w:rsid w:val="00CE7CAD"/>
    <w:pPr>
      <w:numPr>
        <w:numId w:val="9"/>
      </w:numPr>
    </w:pPr>
  </w:style>
  <w:style w:type="paragraph" w:customStyle="1" w:styleId="Tiret1">
    <w:name w:val="Tiret 1"/>
    <w:basedOn w:val="Point1"/>
    <w:uiPriority w:val="99"/>
    <w:rsid w:val="00CE7CAD"/>
    <w:pPr>
      <w:numPr>
        <w:numId w:val="10"/>
      </w:numPr>
    </w:pPr>
  </w:style>
  <w:style w:type="paragraph" w:customStyle="1" w:styleId="Tiret2">
    <w:name w:val="Tiret 2"/>
    <w:basedOn w:val="Point2"/>
    <w:uiPriority w:val="99"/>
    <w:rsid w:val="00CE7CAD"/>
    <w:pPr>
      <w:numPr>
        <w:numId w:val="11"/>
      </w:numPr>
    </w:pPr>
  </w:style>
  <w:style w:type="paragraph" w:customStyle="1" w:styleId="Tiret3">
    <w:name w:val="Tiret 3"/>
    <w:basedOn w:val="Point3"/>
    <w:uiPriority w:val="99"/>
    <w:rsid w:val="00CE7CAD"/>
    <w:pPr>
      <w:numPr>
        <w:numId w:val="12"/>
      </w:numPr>
    </w:pPr>
  </w:style>
  <w:style w:type="paragraph" w:customStyle="1" w:styleId="Tiret4">
    <w:name w:val="Tiret 4"/>
    <w:basedOn w:val="Point4"/>
    <w:uiPriority w:val="99"/>
    <w:rsid w:val="00CE7CAD"/>
    <w:pPr>
      <w:numPr>
        <w:numId w:val="13"/>
      </w:numPr>
    </w:pPr>
  </w:style>
  <w:style w:type="paragraph" w:customStyle="1" w:styleId="PointDouble0">
    <w:name w:val="PointDouble 0"/>
    <w:basedOn w:val="Normlny"/>
    <w:uiPriority w:val="99"/>
    <w:rsid w:val="00CE7CAD"/>
    <w:pPr>
      <w:tabs>
        <w:tab w:val="left" w:pos="850"/>
      </w:tabs>
      <w:ind w:left="1417" w:hanging="1417"/>
    </w:pPr>
  </w:style>
  <w:style w:type="paragraph" w:customStyle="1" w:styleId="PointDouble1">
    <w:name w:val="PointDouble 1"/>
    <w:basedOn w:val="Normlny"/>
    <w:uiPriority w:val="99"/>
    <w:rsid w:val="00CE7CAD"/>
    <w:pPr>
      <w:tabs>
        <w:tab w:val="left" w:pos="1417"/>
      </w:tabs>
      <w:ind w:left="1984" w:hanging="1134"/>
    </w:pPr>
  </w:style>
  <w:style w:type="paragraph" w:customStyle="1" w:styleId="PointDouble2">
    <w:name w:val="PointDouble 2"/>
    <w:basedOn w:val="Normlny"/>
    <w:uiPriority w:val="99"/>
    <w:rsid w:val="00CE7CAD"/>
    <w:pPr>
      <w:tabs>
        <w:tab w:val="left" w:pos="1984"/>
      </w:tabs>
      <w:ind w:left="2551" w:hanging="1134"/>
    </w:pPr>
  </w:style>
  <w:style w:type="paragraph" w:customStyle="1" w:styleId="PointDouble3">
    <w:name w:val="PointDouble 3"/>
    <w:basedOn w:val="Normlny"/>
    <w:uiPriority w:val="99"/>
    <w:rsid w:val="00CE7CAD"/>
    <w:pPr>
      <w:tabs>
        <w:tab w:val="left" w:pos="2551"/>
      </w:tabs>
      <w:ind w:left="3118" w:hanging="1134"/>
    </w:pPr>
  </w:style>
  <w:style w:type="paragraph" w:customStyle="1" w:styleId="PointDouble4">
    <w:name w:val="PointDouble 4"/>
    <w:basedOn w:val="Normlny"/>
    <w:uiPriority w:val="99"/>
    <w:rsid w:val="00CE7CAD"/>
    <w:pPr>
      <w:tabs>
        <w:tab w:val="left" w:pos="3118"/>
      </w:tabs>
      <w:ind w:left="3685" w:hanging="1134"/>
    </w:pPr>
  </w:style>
  <w:style w:type="paragraph" w:customStyle="1" w:styleId="PointTriple0">
    <w:name w:val="PointTriple 0"/>
    <w:basedOn w:val="Normlny"/>
    <w:uiPriority w:val="99"/>
    <w:rsid w:val="00CE7CAD"/>
    <w:pPr>
      <w:tabs>
        <w:tab w:val="left" w:pos="850"/>
        <w:tab w:val="left" w:pos="1417"/>
      </w:tabs>
      <w:ind w:left="1984" w:hanging="1984"/>
    </w:pPr>
  </w:style>
  <w:style w:type="paragraph" w:customStyle="1" w:styleId="PointTriple1">
    <w:name w:val="PointTriple 1"/>
    <w:basedOn w:val="Normlny"/>
    <w:uiPriority w:val="99"/>
    <w:rsid w:val="00CE7CAD"/>
    <w:pPr>
      <w:tabs>
        <w:tab w:val="left" w:pos="1417"/>
        <w:tab w:val="left" w:pos="1984"/>
      </w:tabs>
      <w:ind w:left="2551" w:hanging="1701"/>
    </w:pPr>
  </w:style>
  <w:style w:type="paragraph" w:customStyle="1" w:styleId="PointTriple2">
    <w:name w:val="PointTriple 2"/>
    <w:basedOn w:val="Normlny"/>
    <w:uiPriority w:val="99"/>
    <w:rsid w:val="00CE7CAD"/>
    <w:pPr>
      <w:tabs>
        <w:tab w:val="left" w:pos="1984"/>
        <w:tab w:val="left" w:pos="2551"/>
      </w:tabs>
      <w:ind w:left="3118" w:hanging="1701"/>
    </w:pPr>
  </w:style>
  <w:style w:type="paragraph" w:customStyle="1" w:styleId="PointTriple3">
    <w:name w:val="PointTriple 3"/>
    <w:basedOn w:val="Normlny"/>
    <w:uiPriority w:val="99"/>
    <w:rsid w:val="00CE7CAD"/>
    <w:pPr>
      <w:tabs>
        <w:tab w:val="left" w:pos="2551"/>
        <w:tab w:val="left" w:pos="3118"/>
      </w:tabs>
      <w:ind w:left="3685" w:hanging="1701"/>
    </w:pPr>
  </w:style>
  <w:style w:type="paragraph" w:customStyle="1" w:styleId="PointTriple4">
    <w:name w:val="PointTriple 4"/>
    <w:basedOn w:val="Normlny"/>
    <w:uiPriority w:val="99"/>
    <w:rsid w:val="00CE7CAD"/>
    <w:pPr>
      <w:tabs>
        <w:tab w:val="left" w:pos="3118"/>
        <w:tab w:val="left" w:pos="3685"/>
      </w:tabs>
      <w:ind w:left="4252" w:hanging="1701"/>
    </w:pPr>
  </w:style>
  <w:style w:type="paragraph" w:customStyle="1" w:styleId="NumPar1">
    <w:name w:val="NumPar 1"/>
    <w:basedOn w:val="Normlny"/>
    <w:next w:val="Text1"/>
    <w:uiPriority w:val="99"/>
    <w:rsid w:val="00DB58F5"/>
    <w:pPr>
      <w:numPr>
        <w:numId w:val="31"/>
      </w:numPr>
    </w:pPr>
  </w:style>
  <w:style w:type="paragraph" w:customStyle="1" w:styleId="NumPar2">
    <w:name w:val="NumPar 2"/>
    <w:basedOn w:val="Normlny"/>
    <w:next w:val="Text1"/>
    <w:uiPriority w:val="99"/>
    <w:rsid w:val="00DB58F5"/>
    <w:pPr>
      <w:numPr>
        <w:ilvl w:val="1"/>
        <w:numId w:val="31"/>
      </w:numPr>
    </w:pPr>
  </w:style>
  <w:style w:type="paragraph" w:customStyle="1" w:styleId="NumPar3">
    <w:name w:val="NumPar 3"/>
    <w:basedOn w:val="Normlny"/>
    <w:next w:val="Text1"/>
    <w:uiPriority w:val="99"/>
    <w:rsid w:val="00DB58F5"/>
    <w:pPr>
      <w:numPr>
        <w:ilvl w:val="2"/>
        <w:numId w:val="31"/>
      </w:numPr>
    </w:pPr>
  </w:style>
  <w:style w:type="paragraph" w:customStyle="1" w:styleId="NumPar4">
    <w:name w:val="NumPar 4"/>
    <w:basedOn w:val="Normlny"/>
    <w:next w:val="Text1"/>
    <w:uiPriority w:val="99"/>
    <w:rsid w:val="00DB58F5"/>
    <w:pPr>
      <w:numPr>
        <w:ilvl w:val="3"/>
        <w:numId w:val="31"/>
      </w:numPr>
    </w:pPr>
  </w:style>
  <w:style w:type="paragraph" w:customStyle="1" w:styleId="ManualNumPar1">
    <w:name w:val="Manual NumPar 1"/>
    <w:basedOn w:val="Normlny"/>
    <w:next w:val="Text1"/>
    <w:uiPriority w:val="99"/>
    <w:rsid w:val="00CE7CAD"/>
    <w:pPr>
      <w:ind w:left="850" w:hanging="850"/>
    </w:pPr>
  </w:style>
  <w:style w:type="paragraph" w:customStyle="1" w:styleId="ManualNumPar2">
    <w:name w:val="Manual NumPar 2"/>
    <w:basedOn w:val="Normlny"/>
    <w:next w:val="Text1"/>
    <w:uiPriority w:val="99"/>
    <w:rsid w:val="00CE7CAD"/>
    <w:pPr>
      <w:ind w:left="850" w:hanging="850"/>
    </w:pPr>
  </w:style>
  <w:style w:type="paragraph" w:customStyle="1" w:styleId="ManualNumPar3">
    <w:name w:val="Manual NumPar 3"/>
    <w:basedOn w:val="Normlny"/>
    <w:next w:val="Text1"/>
    <w:uiPriority w:val="99"/>
    <w:rsid w:val="00CE7CAD"/>
    <w:pPr>
      <w:ind w:left="850" w:hanging="850"/>
    </w:pPr>
  </w:style>
  <w:style w:type="paragraph" w:customStyle="1" w:styleId="ManualNumPar4">
    <w:name w:val="Manual NumPar 4"/>
    <w:basedOn w:val="Normlny"/>
    <w:next w:val="Text1"/>
    <w:uiPriority w:val="99"/>
    <w:rsid w:val="00CE7CAD"/>
    <w:pPr>
      <w:ind w:left="850" w:hanging="850"/>
    </w:pPr>
  </w:style>
  <w:style w:type="paragraph" w:customStyle="1" w:styleId="QuotedNumPar">
    <w:name w:val="Quoted NumPar"/>
    <w:basedOn w:val="Normlny"/>
    <w:uiPriority w:val="99"/>
    <w:rsid w:val="00CE7CAD"/>
    <w:pPr>
      <w:ind w:left="1417" w:hanging="567"/>
    </w:pPr>
  </w:style>
  <w:style w:type="paragraph" w:customStyle="1" w:styleId="ManualHeading1">
    <w:name w:val="Manual Heading 1"/>
    <w:basedOn w:val="Normlny"/>
    <w:next w:val="Text1"/>
    <w:uiPriority w:val="99"/>
    <w:rsid w:val="00CE7CAD"/>
    <w:pPr>
      <w:keepNext/>
      <w:tabs>
        <w:tab w:val="left" w:pos="850"/>
      </w:tabs>
      <w:spacing w:before="360"/>
      <w:ind w:left="850" w:hanging="850"/>
      <w:outlineLvl w:val="0"/>
    </w:pPr>
    <w:rPr>
      <w:b/>
      <w:smallCaps/>
    </w:rPr>
  </w:style>
  <w:style w:type="paragraph" w:customStyle="1" w:styleId="ManualHeading2">
    <w:name w:val="Manual Heading 2"/>
    <w:basedOn w:val="Normlny"/>
    <w:next w:val="Text1"/>
    <w:uiPriority w:val="99"/>
    <w:rsid w:val="00CE7CAD"/>
    <w:pPr>
      <w:keepNext/>
      <w:tabs>
        <w:tab w:val="left" w:pos="850"/>
      </w:tabs>
      <w:ind w:left="850" w:hanging="850"/>
      <w:outlineLvl w:val="1"/>
    </w:pPr>
    <w:rPr>
      <w:b/>
    </w:rPr>
  </w:style>
  <w:style w:type="paragraph" w:customStyle="1" w:styleId="ManualHeading3">
    <w:name w:val="Manual Heading 3"/>
    <w:basedOn w:val="Normlny"/>
    <w:next w:val="Text1"/>
    <w:uiPriority w:val="99"/>
    <w:rsid w:val="00CE7CAD"/>
    <w:pPr>
      <w:keepNext/>
      <w:tabs>
        <w:tab w:val="left" w:pos="850"/>
      </w:tabs>
      <w:ind w:left="850" w:hanging="850"/>
      <w:outlineLvl w:val="2"/>
    </w:pPr>
    <w:rPr>
      <w:i/>
    </w:rPr>
  </w:style>
  <w:style w:type="paragraph" w:customStyle="1" w:styleId="ManualHeading4">
    <w:name w:val="Manual Heading 4"/>
    <w:basedOn w:val="Normlny"/>
    <w:next w:val="Text1"/>
    <w:uiPriority w:val="99"/>
    <w:rsid w:val="00CE7CAD"/>
    <w:pPr>
      <w:keepNext/>
      <w:tabs>
        <w:tab w:val="left" w:pos="850"/>
      </w:tabs>
      <w:ind w:left="850" w:hanging="850"/>
      <w:outlineLvl w:val="3"/>
    </w:pPr>
  </w:style>
  <w:style w:type="paragraph" w:customStyle="1" w:styleId="ChapterTitle">
    <w:name w:val="ChapterTitle"/>
    <w:basedOn w:val="Normlny"/>
    <w:next w:val="Normlny"/>
    <w:uiPriority w:val="99"/>
    <w:rsid w:val="00CE7CAD"/>
    <w:pPr>
      <w:keepNext/>
      <w:spacing w:after="360"/>
      <w:jc w:val="center"/>
    </w:pPr>
    <w:rPr>
      <w:b/>
      <w:sz w:val="32"/>
    </w:rPr>
  </w:style>
  <w:style w:type="paragraph" w:customStyle="1" w:styleId="PartTitle">
    <w:name w:val="PartTitle"/>
    <w:basedOn w:val="Normlny"/>
    <w:next w:val="ChapterTitle"/>
    <w:uiPriority w:val="99"/>
    <w:rsid w:val="00CE7CAD"/>
    <w:pPr>
      <w:keepNext/>
      <w:pageBreakBefore/>
      <w:spacing w:after="360"/>
      <w:jc w:val="center"/>
    </w:pPr>
    <w:rPr>
      <w:b/>
      <w:sz w:val="36"/>
    </w:rPr>
  </w:style>
  <w:style w:type="paragraph" w:customStyle="1" w:styleId="SectionTitle">
    <w:name w:val="SectionTitle"/>
    <w:basedOn w:val="Normlny"/>
    <w:next w:val="Nadpis1"/>
    <w:uiPriority w:val="99"/>
    <w:rsid w:val="00CE7CAD"/>
    <w:pPr>
      <w:keepNext/>
      <w:spacing w:after="360"/>
      <w:jc w:val="center"/>
    </w:pPr>
    <w:rPr>
      <w:b/>
      <w:smallCaps/>
      <w:sz w:val="28"/>
    </w:rPr>
  </w:style>
  <w:style w:type="paragraph" w:customStyle="1" w:styleId="TableTitle">
    <w:name w:val="Table Title"/>
    <w:basedOn w:val="Normlny"/>
    <w:next w:val="Normlny"/>
    <w:uiPriority w:val="99"/>
    <w:rsid w:val="00CE7CAD"/>
    <w:pPr>
      <w:jc w:val="center"/>
    </w:pPr>
    <w:rPr>
      <w:b/>
    </w:rPr>
  </w:style>
  <w:style w:type="character" w:customStyle="1" w:styleId="Marker">
    <w:name w:val="Marker"/>
    <w:basedOn w:val="Predvolenpsmoodseku"/>
    <w:uiPriority w:val="99"/>
    <w:rsid w:val="00CE7CAD"/>
    <w:rPr>
      <w:rFonts w:cs="Times New Roman"/>
      <w:color w:val="0000FF"/>
      <w:shd w:val="clear" w:color="auto" w:fill="auto"/>
    </w:rPr>
  </w:style>
  <w:style w:type="character" w:customStyle="1" w:styleId="Marker1">
    <w:name w:val="Marker1"/>
    <w:basedOn w:val="Predvolenpsmoodseku"/>
    <w:uiPriority w:val="99"/>
    <w:rsid w:val="00CE7CAD"/>
    <w:rPr>
      <w:rFonts w:cs="Times New Roman"/>
      <w:color w:val="008000"/>
      <w:shd w:val="clear" w:color="auto" w:fill="auto"/>
    </w:rPr>
  </w:style>
  <w:style w:type="character" w:customStyle="1" w:styleId="Marker2">
    <w:name w:val="Marker2"/>
    <w:basedOn w:val="Predvolenpsmoodseku"/>
    <w:uiPriority w:val="99"/>
    <w:rsid w:val="00CE7CAD"/>
    <w:rPr>
      <w:rFonts w:cs="Times New Roman"/>
      <w:color w:val="FF0000"/>
      <w:shd w:val="clear" w:color="auto" w:fill="auto"/>
    </w:rPr>
  </w:style>
  <w:style w:type="paragraph" w:styleId="Hlavikaobsahu">
    <w:name w:val="TOC Heading"/>
    <w:basedOn w:val="Normlny"/>
    <w:next w:val="Normlny"/>
    <w:uiPriority w:val="99"/>
    <w:qFormat/>
    <w:rsid w:val="00CE7CAD"/>
    <w:pPr>
      <w:spacing w:after="240"/>
      <w:jc w:val="center"/>
    </w:pPr>
    <w:rPr>
      <w:b/>
      <w:sz w:val="28"/>
    </w:rPr>
  </w:style>
  <w:style w:type="paragraph" w:customStyle="1" w:styleId="Point0number">
    <w:name w:val="Point 0 (number)"/>
    <w:basedOn w:val="Normlny"/>
    <w:uiPriority w:val="99"/>
    <w:rsid w:val="00CE7CAD"/>
    <w:pPr>
      <w:numPr>
        <w:numId w:val="16"/>
      </w:numPr>
    </w:pPr>
  </w:style>
  <w:style w:type="paragraph" w:customStyle="1" w:styleId="Point1number">
    <w:name w:val="Point 1 (number)"/>
    <w:basedOn w:val="Normlny"/>
    <w:uiPriority w:val="99"/>
    <w:rsid w:val="00CE7CAD"/>
    <w:pPr>
      <w:numPr>
        <w:ilvl w:val="2"/>
        <w:numId w:val="16"/>
      </w:numPr>
    </w:pPr>
  </w:style>
  <w:style w:type="paragraph" w:customStyle="1" w:styleId="Point2number">
    <w:name w:val="Point 2 (number)"/>
    <w:basedOn w:val="Normlny"/>
    <w:uiPriority w:val="99"/>
    <w:rsid w:val="00CE7CAD"/>
    <w:pPr>
      <w:numPr>
        <w:ilvl w:val="4"/>
        <w:numId w:val="16"/>
      </w:numPr>
    </w:pPr>
  </w:style>
  <w:style w:type="paragraph" w:customStyle="1" w:styleId="Point3number">
    <w:name w:val="Point 3 (number)"/>
    <w:basedOn w:val="Normlny"/>
    <w:uiPriority w:val="99"/>
    <w:rsid w:val="00CE7CAD"/>
    <w:pPr>
      <w:numPr>
        <w:ilvl w:val="6"/>
        <w:numId w:val="16"/>
      </w:numPr>
    </w:pPr>
  </w:style>
  <w:style w:type="paragraph" w:customStyle="1" w:styleId="Point0letter">
    <w:name w:val="Point 0 (letter)"/>
    <w:basedOn w:val="Normlny"/>
    <w:uiPriority w:val="99"/>
    <w:rsid w:val="00CE7CAD"/>
    <w:pPr>
      <w:numPr>
        <w:ilvl w:val="1"/>
        <w:numId w:val="16"/>
      </w:numPr>
    </w:pPr>
  </w:style>
  <w:style w:type="paragraph" w:customStyle="1" w:styleId="Point1letter">
    <w:name w:val="Point 1 (letter)"/>
    <w:basedOn w:val="Normlny"/>
    <w:uiPriority w:val="99"/>
    <w:rsid w:val="00CE7CAD"/>
    <w:pPr>
      <w:numPr>
        <w:ilvl w:val="3"/>
        <w:numId w:val="16"/>
      </w:numPr>
    </w:pPr>
  </w:style>
  <w:style w:type="paragraph" w:customStyle="1" w:styleId="Point2letter">
    <w:name w:val="Point 2 (letter)"/>
    <w:basedOn w:val="Normlny"/>
    <w:uiPriority w:val="99"/>
    <w:rsid w:val="00CE7CAD"/>
    <w:pPr>
      <w:numPr>
        <w:ilvl w:val="5"/>
        <w:numId w:val="16"/>
      </w:numPr>
    </w:pPr>
  </w:style>
  <w:style w:type="paragraph" w:customStyle="1" w:styleId="Point3letter">
    <w:name w:val="Point 3 (letter)"/>
    <w:basedOn w:val="Normlny"/>
    <w:uiPriority w:val="99"/>
    <w:rsid w:val="00CE7CAD"/>
    <w:pPr>
      <w:numPr>
        <w:ilvl w:val="7"/>
        <w:numId w:val="16"/>
      </w:numPr>
    </w:pPr>
  </w:style>
  <w:style w:type="paragraph" w:customStyle="1" w:styleId="Point4letter">
    <w:name w:val="Point 4 (letter)"/>
    <w:basedOn w:val="Normlny"/>
    <w:uiPriority w:val="99"/>
    <w:rsid w:val="00CE7CAD"/>
    <w:pPr>
      <w:numPr>
        <w:ilvl w:val="8"/>
        <w:numId w:val="16"/>
      </w:numPr>
    </w:pPr>
  </w:style>
  <w:style w:type="paragraph" w:customStyle="1" w:styleId="Bullet0">
    <w:name w:val="Bullet 0"/>
    <w:basedOn w:val="Normlny"/>
    <w:uiPriority w:val="99"/>
    <w:rsid w:val="00CE7CAD"/>
    <w:pPr>
      <w:numPr>
        <w:numId w:val="17"/>
      </w:numPr>
    </w:pPr>
  </w:style>
  <w:style w:type="paragraph" w:customStyle="1" w:styleId="Bullet1">
    <w:name w:val="Bullet 1"/>
    <w:basedOn w:val="Normlny"/>
    <w:uiPriority w:val="99"/>
    <w:rsid w:val="00CE7CAD"/>
    <w:pPr>
      <w:numPr>
        <w:numId w:val="18"/>
      </w:numPr>
    </w:pPr>
  </w:style>
  <w:style w:type="paragraph" w:customStyle="1" w:styleId="Bullet2">
    <w:name w:val="Bullet 2"/>
    <w:basedOn w:val="Normlny"/>
    <w:uiPriority w:val="99"/>
    <w:rsid w:val="00CE7CAD"/>
    <w:pPr>
      <w:numPr>
        <w:numId w:val="19"/>
      </w:numPr>
    </w:pPr>
  </w:style>
  <w:style w:type="paragraph" w:customStyle="1" w:styleId="Bullet3">
    <w:name w:val="Bullet 3"/>
    <w:basedOn w:val="Normlny"/>
    <w:uiPriority w:val="99"/>
    <w:rsid w:val="00CE7CAD"/>
    <w:pPr>
      <w:numPr>
        <w:numId w:val="20"/>
      </w:numPr>
    </w:pPr>
  </w:style>
  <w:style w:type="paragraph" w:customStyle="1" w:styleId="Bullet4">
    <w:name w:val="Bullet 4"/>
    <w:basedOn w:val="Normlny"/>
    <w:uiPriority w:val="99"/>
    <w:rsid w:val="00CE7CAD"/>
    <w:pPr>
      <w:numPr>
        <w:numId w:val="21"/>
      </w:numPr>
    </w:pPr>
  </w:style>
  <w:style w:type="paragraph" w:customStyle="1" w:styleId="Annexetitreexpos">
    <w:name w:val="Annexe titre (exposé)"/>
    <w:basedOn w:val="Normlny"/>
    <w:next w:val="Normlny"/>
    <w:uiPriority w:val="99"/>
    <w:rsid w:val="00CE7CAD"/>
    <w:pPr>
      <w:jc w:val="center"/>
    </w:pPr>
    <w:rPr>
      <w:b/>
      <w:u w:val="single"/>
    </w:rPr>
  </w:style>
  <w:style w:type="paragraph" w:customStyle="1" w:styleId="Annexetitre">
    <w:name w:val="Annexe titre"/>
    <w:basedOn w:val="Normlny"/>
    <w:next w:val="Normlny"/>
    <w:uiPriority w:val="99"/>
    <w:rsid w:val="00CE7CAD"/>
    <w:pPr>
      <w:jc w:val="center"/>
    </w:pPr>
    <w:rPr>
      <w:b/>
      <w:u w:val="single"/>
    </w:rPr>
  </w:style>
  <w:style w:type="paragraph" w:customStyle="1" w:styleId="Annexetitrefichefinancire">
    <w:name w:val="Annexe titre (fiche financière)"/>
    <w:basedOn w:val="Normlny"/>
    <w:next w:val="Normlny"/>
    <w:uiPriority w:val="99"/>
    <w:rsid w:val="00CE7CAD"/>
    <w:pPr>
      <w:jc w:val="center"/>
    </w:pPr>
    <w:rPr>
      <w:b/>
      <w:u w:val="single"/>
    </w:rPr>
  </w:style>
  <w:style w:type="paragraph" w:customStyle="1" w:styleId="Applicationdirecte">
    <w:name w:val="Application directe"/>
    <w:basedOn w:val="Normlny"/>
    <w:next w:val="Fait"/>
    <w:uiPriority w:val="99"/>
    <w:rsid w:val="00CE7CAD"/>
    <w:pPr>
      <w:spacing w:before="480"/>
    </w:pPr>
  </w:style>
  <w:style w:type="paragraph" w:customStyle="1" w:styleId="Avertissementtitre">
    <w:name w:val="Avertissement titre"/>
    <w:basedOn w:val="Normlny"/>
    <w:next w:val="Normlny"/>
    <w:uiPriority w:val="99"/>
    <w:rsid w:val="00CE7CAD"/>
    <w:pPr>
      <w:keepNext/>
      <w:spacing w:before="480"/>
    </w:pPr>
    <w:rPr>
      <w:u w:val="single"/>
    </w:rPr>
  </w:style>
  <w:style w:type="paragraph" w:customStyle="1" w:styleId="Confidence">
    <w:name w:val="Confidence"/>
    <w:basedOn w:val="Normlny"/>
    <w:next w:val="Normlny"/>
    <w:uiPriority w:val="99"/>
    <w:rsid w:val="00CE7CAD"/>
    <w:pPr>
      <w:spacing w:before="360"/>
      <w:jc w:val="center"/>
    </w:pPr>
  </w:style>
  <w:style w:type="paragraph" w:customStyle="1" w:styleId="Confidentialit">
    <w:name w:val="Confidentialité"/>
    <w:basedOn w:val="Normlny"/>
    <w:next w:val="TypedudocumentPagedecouverture"/>
    <w:uiPriority w:val="99"/>
    <w:rsid w:val="00CE7CAD"/>
    <w:pPr>
      <w:spacing w:before="240" w:after="240"/>
      <w:ind w:left="5103"/>
    </w:pPr>
    <w:rPr>
      <w:u w:val="single"/>
    </w:rPr>
  </w:style>
  <w:style w:type="paragraph" w:customStyle="1" w:styleId="Considrant">
    <w:name w:val="Considérant"/>
    <w:basedOn w:val="Normlny"/>
    <w:uiPriority w:val="99"/>
    <w:rsid w:val="00246DFE"/>
    <w:pPr>
      <w:numPr>
        <w:numId w:val="32"/>
      </w:numPr>
    </w:pPr>
  </w:style>
  <w:style w:type="paragraph" w:customStyle="1" w:styleId="Corrigendum">
    <w:name w:val="Corrigendum"/>
    <w:basedOn w:val="Normlny"/>
    <w:next w:val="Normlny"/>
    <w:uiPriority w:val="99"/>
    <w:rsid w:val="00CE7CAD"/>
    <w:pPr>
      <w:spacing w:before="0" w:after="240"/>
      <w:jc w:val="left"/>
    </w:pPr>
  </w:style>
  <w:style w:type="paragraph" w:customStyle="1" w:styleId="Datedadoption">
    <w:name w:val="Date d'adoption"/>
    <w:basedOn w:val="Normlny"/>
    <w:next w:val="Titreobjet"/>
    <w:uiPriority w:val="99"/>
    <w:rsid w:val="00CE7CAD"/>
    <w:pPr>
      <w:spacing w:before="360" w:after="0"/>
      <w:jc w:val="center"/>
    </w:pPr>
    <w:rPr>
      <w:b/>
    </w:rPr>
  </w:style>
  <w:style w:type="paragraph" w:customStyle="1" w:styleId="Emission">
    <w:name w:val="Emission"/>
    <w:basedOn w:val="Normlny"/>
    <w:next w:val="Rfrenceinstitutionnelle"/>
    <w:uiPriority w:val="99"/>
    <w:rsid w:val="00CE7CAD"/>
    <w:pPr>
      <w:spacing w:before="0" w:after="0"/>
      <w:ind w:left="5103"/>
      <w:jc w:val="left"/>
    </w:pPr>
  </w:style>
  <w:style w:type="paragraph" w:customStyle="1" w:styleId="Exposdesmotifstitre">
    <w:name w:val="Exposé des motifs titre"/>
    <w:basedOn w:val="Normlny"/>
    <w:next w:val="Normlny"/>
    <w:uiPriority w:val="99"/>
    <w:rsid w:val="00CE7CAD"/>
    <w:pPr>
      <w:jc w:val="center"/>
    </w:pPr>
    <w:rPr>
      <w:b/>
      <w:u w:val="single"/>
    </w:rPr>
  </w:style>
  <w:style w:type="paragraph" w:customStyle="1" w:styleId="Fait">
    <w:name w:val="Fait à"/>
    <w:basedOn w:val="Normlny"/>
    <w:next w:val="Institutionquisigne"/>
    <w:uiPriority w:val="99"/>
    <w:rsid w:val="00CE7CAD"/>
    <w:pPr>
      <w:keepNext/>
      <w:spacing w:after="0"/>
    </w:pPr>
  </w:style>
  <w:style w:type="paragraph" w:customStyle="1" w:styleId="Formuledadoption">
    <w:name w:val="Formule d'adoption"/>
    <w:basedOn w:val="Normlny"/>
    <w:next w:val="Titrearticle"/>
    <w:uiPriority w:val="99"/>
    <w:rsid w:val="00CE7CAD"/>
    <w:pPr>
      <w:keepNext/>
    </w:pPr>
  </w:style>
  <w:style w:type="paragraph" w:customStyle="1" w:styleId="Institutionquiagit">
    <w:name w:val="Institution qui agit"/>
    <w:basedOn w:val="Normlny"/>
    <w:next w:val="Normlny"/>
    <w:uiPriority w:val="99"/>
    <w:rsid w:val="00CE7CAD"/>
    <w:pPr>
      <w:keepNext/>
      <w:spacing w:before="600"/>
    </w:pPr>
  </w:style>
  <w:style w:type="paragraph" w:customStyle="1" w:styleId="Institutionquisigne">
    <w:name w:val="Institution qui signe"/>
    <w:basedOn w:val="Normlny"/>
    <w:next w:val="Personnequisigne"/>
    <w:uiPriority w:val="99"/>
    <w:rsid w:val="00CE7CAD"/>
    <w:pPr>
      <w:keepNext/>
      <w:tabs>
        <w:tab w:val="left" w:pos="4252"/>
      </w:tabs>
      <w:spacing w:before="720" w:after="0"/>
    </w:pPr>
    <w:rPr>
      <w:i/>
    </w:rPr>
  </w:style>
  <w:style w:type="paragraph" w:customStyle="1" w:styleId="Langue">
    <w:name w:val="Langue"/>
    <w:basedOn w:val="Normlny"/>
    <w:next w:val="Rfrenceinterne"/>
    <w:uiPriority w:val="99"/>
    <w:rsid w:val="00CE7CAD"/>
    <w:pPr>
      <w:framePr w:wrap="around" w:vAnchor="page" w:hAnchor="text" w:xAlign="center" w:y="14741"/>
      <w:spacing w:before="0" w:after="600"/>
      <w:jc w:val="center"/>
    </w:pPr>
    <w:rPr>
      <w:b/>
      <w:caps/>
    </w:rPr>
  </w:style>
  <w:style w:type="paragraph" w:customStyle="1" w:styleId="ManualConsidrant">
    <w:name w:val="Manual Considérant"/>
    <w:basedOn w:val="Normlny"/>
    <w:uiPriority w:val="99"/>
    <w:rsid w:val="00CE7CAD"/>
    <w:pPr>
      <w:ind w:left="709" w:hanging="709"/>
    </w:pPr>
  </w:style>
  <w:style w:type="paragraph" w:customStyle="1" w:styleId="Nomdelinstitution">
    <w:name w:val="Nom de l'institution"/>
    <w:basedOn w:val="Normlny"/>
    <w:next w:val="Emission"/>
    <w:uiPriority w:val="99"/>
    <w:rsid w:val="00CE7CAD"/>
    <w:pPr>
      <w:spacing w:before="0" w:after="0"/>
      <w:jc w:val="left"/>
    </w:pPr>
    <w:rPr>
      <w:rFonts w:ascii="Arial" w:hAnsi="Arial" w:cs="Arial"/>
    </w:rPr>
  </w:style>
  <w:style w:type="paragraph" w:customStyle="1" w:styleId="Personnequisigne">
    <w:name w:val="Personne qui signe"/>
    <w:basedOn w:val="Normlny"/>
    <w:next w:val="Institutionquisigne"/>
    <w:uiPriority w:val="99"/>
    <w:rsid w:val="00CE7CAD"/>
    <w:pPr>
      <w:tabs>
        <w:tab w:val="left" w:pos="4252"/>
      </w:tabs>
      <w:spacing w:before="0" w:after="0"/>
      <w:jc w:val="left"/>
    </w:pPr>
    <w:rPr>
      <w:i/>
    </w:rPr>
  </w:style>
  <w:style w:type="paragraph" w:customStyle="1" w:styleId="Rfrenceinstitutionnelle">
    <w:name w:val="Référence institutionnelle"/>
    <w:basedOn w:val="Normlny"/>
    <w:next w:val="Confidentialit"/>
    <w:uiPriority w:val="99"/>
    <w:rsid w:val="00CE7CAD"/>
    <w:pPr>
      <w:spacing w:before="0" w:after="240"/>
      <w:ind w:left="5103"/>
      <w:jc w:val="left"/>
    </w:pPr>
  </w:style>
  <w:style w:type="paragraph" w:customStyle="1" w:styleId="Rfrenceinterinstitutionnelle">
    <w:name w:val="Référence interinstitutionnelle"/>
    <w:basedOn w:val="Normlny"/>
    <w:next w:val="Statut"/>
    <w:uiPriority w:val="99"/>
    <w:rsid w:val="00CE7CAD"/>
    <w:pPr>
      <w:spacing w:before="0" w:after="0"/>
      <w:ind w:left="5103"/>
      <w:jc w:val="left"/>
    </w:pPr>
  </w:style>
  <w:style w:type="paragraph" w:customStyle="1" w:styleId="Rfrenceinterne">
    <w:name w:val="Référence interne"/>
    <w:basedOn w:val="Normlny"/>
    <w:next w:val="Rfrenceinterinstitutionnelle"/>
    <w:uiPriority w:val="99"/>
    <w:rsid w:val="00CE7CAD"/>
    <w:pPr>
      <w:spacing w:before="0" w:after="0"/>
      <w:ind w:left="5103"/>
      <w:jc w:val="left"/>
    </w:pPr>
  </w:style>
  <w:style w:type="paragraph" w:customStyle="1" w:styleId="Sous-titreobjet">
    <w:name w:val="Sous-titre objet"/>
    <w:basedOn w:val="Normlny"/>
    <w:uiPriority w:val="99"/>
    <w:rsid w:val="00CE7CAD"/>
    <w:pPr>
      <w:spacing w:before="0" w:after="0"/>
      <w:jc w:val="center"/>
    </w:pPr>
    <w:rPr>
      <w:b/>
    </w:rPr>
  </w:style>
  <w:style w:type="paragraph" w:customStyle="1" w:styleId="Statut">
    <w:name w:val="Statut"/>
    <w:basedOn w:val="Normlny"/>
    <w:next w:val="Typedudocument"/>
    <w:uiPriority w:val="99"/>
    <w:rsid w:val="00CE7CAD"/>
    <w:pPr>
      <w:spacing w:before="360" w:after="0"/>
      <w:jc w:val="center"/>
    </w:pPr>
  </w:style>
  <w:style w:type="paragraph" w:customStyle="1" w:styleId="Titrearticle">
    <w:name w:val="Titre article"/>
    <w:basedOn w:val="Normlny"/>
    <w:next w:val="Normlny"/>
    <w:uiPriority w:val="99"/>
    <w:rsid w:val="00CE7CAD"/>
    <w:pPr>
      <w:keepNext/>
      <w:spacing w:before="360"/>
      <w:jc w:val="center"/>
    </w:pPr>
    <w:rPr>
      <w:i/>
    </w:rPr>
  </w:style>
  <w:style w:type="paragraph" w:customStyle="1" w:styleId="Titreobjet">
    <w:name w:val="Titre objet"/>
    <w:basedOn w:val="Normlny"/>
    <w:next w:val="Sous-titreobjet"/>
    <w:uiPriority w:val="99"/>
    <w:rsid w:val="00CE7CAD"/>
    <w:pPr>
      <w:spacing w:before="360" w:after="360"/>
      <w:jc w:val="center"/>
    </w:pPr>
    <w:rPr>
      <w:b/>
    </w:rPr>
  </w:style>
  <w:style w:type="paragraph" w:customStyle="1" w:styleId="Typedudocument">
    <w:name w:val="Type du document"/>
    <w:basedOn w:val="Normlny"/>
    <w:next w:val="Titreobjet"/>
    <w:uiPriority w:val="99"/>
    <w:rsid w:val="00CE7CAD"/>
    <w:pPr>
      <w:spacing w:before="360" w:after="0"/>
      <w:jc w:val="center"/>
    </w:pPr>
    <w:rPr>
      <w:b/>
    </w:rPr>
  </w:style>
  <w:style w:type="character" w:customStyle="1" w:styleId="Added">
    <w:name w:val="Added"/>
    <w:basedOn w:val="Predvolenpsmoodseku"/>
    <w:uiPriority w:val="99"/>
    <w:rsid w:val="00CE7CAD"/>
    <w:rPr>
      <w:rFonts w:cs="Times New Roman"/>
      <w:b/>
      <w:u w:val="single"/>
      <w:shd w:val="clear" w:color="auto" w:fill="auto"/>
    </w:rPr>
  </w:style>
  <w:style w:type="character" w:customStyle="1" w:styleId="Deleted">
    <w:name w:val="Deleted"/>
    <w:basedOn w:val="Predvolenpsmoodseku"/>
    <w:uiPriority w:val="99"/>
    <w:rsid w:val="00CE7CAD"/>
    <w:rPr>
      <w:rFonts w:cs="Times New Roman"/>
      <w:strike/>
      <w:shd w:val="clear" w:color="auto" w:fill="auto"/>
    </w:rPr>
  </w:style>
  <w:style w:type="paragraph" w:customStyle="1" w:styleId="Address">
    <w:name w:val="Address"/>
    <w:basedOn w:val="Normlny"/>
    <w:next w:val="Normlny"/>
    <w:uiPriority w:val="99"/>
    <w:rsid w:val="00CE7CAD"/>
    <w:pPr>
      <w:keepLines/>
      <w:spacing w:line="360" w:lineRule="auto"/>
      <w:ind w:left="3402"/>
      <w:jc w:val="left"/>
    </w:pPr>
  </w:style>
  <w:style w:type="paragraph" w:customStyle="1" w:styleId="Objetexterne">
    <w:name w:val="Objet externe"/>
    <w:basedOn w:val="Normlny"/>
    <w:next w:val="Normlny"/>
    <w:uiPriority w:val="99"/>
    <w:rsid w:val="00CE7CAD"/>
    <w:rPr>
      <w:i/>
      <w:caps/>
    </w:rPr>
  </w:style>
  <w:style w:type="paragraph" w:customStyle="1" w:styleId="Pagedecouverture">
    <w:name w:val="Page de couverture"/>
    <w:basedOn w:val="Normlny"/>
    <w:next w:val="Normlny"/>
    <w:uiPriority w:val="99"/>
    <w:rsid w:val="00CE7CAD"/>
  </w:style>
  <w:style w:type="paragraph" w:customStyle="1" w:styleId="Supertitre">
    <w:name w:val="Supertitre"/>
    <w:basedOn w:val="Normlny"/>
    <w:next w:val="Normlny"/>
    <w:uiPriority w:val="99"/>
    <w:rsid w:val="00CE7CAD"/>
    <w:pPr>
      <w:spacing w:before="0" w:after="600"/>
      <w:jc w:val="center"/>
    </w:pPr>
    <w:rPr>
      <w:b/>
    </w:rPr>
  </w:style>
  <w:style w:type="paragraph" w:customStyle="1" w:styleId="Languesfaisantfoi">
    <w:name w:val="Langues faisant foi"/>
    <w:basedOn w:val="Normlny"/>
    <w:next w:val="Normlny"/>
    <w:uiPriority w:val="99"/>
    <w:rsid w:val="00CE7CAD"/>
    <w:pPr>
      <w:spacing w:before="360" w:after="0"/>
      <w:jc w:val="center"/>
    </w:pPr>
  </w:style>
  <w:style w:type="paragraph" w:customStyle="1" w:styleId="Rfrencecroise">
    <w:name w:val="Référence croisée"/>
    <w:basedOn w:val="Normlny"/>
    <w:uiPriority w:val="99"/>
    <w:rsid w:val="00CE7CAD"/>
    <w:pPr>
      <w:spacing w:before="0" w:after="0"/>
      <w:jc w:val="center"/>
    </w:pPr>
  </w:style>
  <w:style w:type="paragraph" w:customStyle="1" w:styleId="Fichefinanciretitre">
    <w:name w:val="Fiche financière titre"/>
    <w:basedOn w:val="Normlny"/>
    <w:next w:val="Normlny"/>
    <w:uiPriority w:val="99"/>
    <w:rsid w:val="00CE7CAD"/>
    <w:pPr>
      <w:jc w:val="center"/>
    </w:pPr>
    <w:rPr>
      <w:b/>
      <w:u w:val="single"/>
    </w:rPr>
  </w:style>
  <w:style w:type="paragraph" w:customStyle="1" w:styleId="DatedadoptionPagedecouverture">
    <w:name w:val="Date d'adoption (Page de couverture)"/>
    <w:basedOn w:val="Datedadoption"/>
    <w:next w:val="TitreobjetPagedecouverture"/>
    <w:uiPriority w:val="99"/>
    <w:rsid w:val="00CE7CAD"/>
  </w:style>
  <w:style w:type="paragraph" w:customStyle="1" w:styleId="RfrenceinterinstitutionnellePagedecouverture">
    <w:name w:val="Référence interinstitutionnelle (Page de couverture)"/>
    <w:basedOn w:val="Rfrenceinterinstitutionnelle"/>
    <w:next w:val="Confidentialit"/>
    <w:uiPriority w:val="99"/>
    <w:rsid w:val="00CE7CAD"/>
  </w:style>
  <w:style w:type="paragraph" w:customStyle="1" w:styleId="Sous-titreobjetPagedecouverture">
    <w:name w:val="Sous-titre objet (Page de couverture)"/>
    <w:basedOn w:val="Sous-titreobjet"/>
    <w:uiPriority w:val="99"/>
    <w:rsid w:val="00CE7CAD"/>
  </w:style>
  <w:style w:type="paragraph" w:customStyle="1" w:styleId="StatutPagedecouverture">
    <w:name w:val="Statut (Page de couverture)"/>
    <w:basedOn w:val="Statut"/>
    <w:next w:val="TypedudocumentPagedecouverture"/>
    <w:uiPriority w:val="99"/>
    <w:rsid w:val="00CE7CAD"/>
  </w:style>
  <w:style w:type="paragraph" w:customStyle="1" w:styleId="TitreobjetPagedecouverture">
    <w:name w:val="Titre objet (Page de couverture)"/>
    <w:basedOn w:val="Titreobjet"/>
    <w:next w:val="Sous-titreobjetPagedecouverture"/>
    <w:uiPriority w:val="99"/>
    <w:rsid w:val="00CE7CAD"/>
  </w:style>
  <w:style w:type="paragraph" w:customStyle="1" w:styleId="TypedudocumentPagedecouverture">
    <w:name w:val="Type du document (Page de couverture)"/>
    <w:basedOn w:val="Typedudocument"/>
    <w:next w:val="TitreobjetPagedecouverture"/>
    <w:uiPriority w:val="99"/>
    <w:rsid w:val="00CE7CAD"/>
  </w:style>
  <w:style w:type="paragraph" w:customStyle="1" w:styleId="Volume">
    <w:name w:val="Volume"/>
    <w:basedOn w:val="Normlny"/>
    <w:next w:val="Confidentialit"/>
    <w:uiPriority w:val="99"/>
    <w:rsid w:val="00CE7CAD"/>
    <w:pPr>
      <w:spacing w:before="0" w:after="240"/>
      <w:ind w:left="5103"/>
      <w:jc w:val="left"/>
    </w:pPr>
  </w:style>
  <w:style w:type="paragraph" w:customStyle="1" w:styleId="IntrtEEE">
    <w:name w:val="Intérêt EEE"/>
    <w:basedOn w:val="Languesfaisantfoi"/>
    <w:next w:val="Normlny"/>
    <w:uiPriority w:val="99"/>
    <w:rsid w:val="00CE7CAD"/>
    <w:pPr>
      <w:spacing w:after="240"/>
    </w:pPr>
  </w:style>
  <w:style w:type="paragraph" w:customStyle="1" w:styleId="Accompagnant">
    <w:name w:val="Accompagnant"/>
    <w:basedOn w:val="Normlny"/>
    <w:next w:val="Typeacteprincipal"/>
    <w:uiPriority w:val="99"/>
    <w:rsid w:val="00CE7CAD"/>
    <w:pPr>
      <w:spacing w:before="0" w:after="240"/>
      <w:jc w:val="center"/>
    </w:pPr>
    <w:rPr>
      <w:b/>
      <w:i/>
    </w:rPr>
  </w:style>
  <w:style w:type="paragraph" w:customStyle="1" w:styleId="Typeacteprincipal">
    <w:name w:val="Type acte principal"/>
    <w:basedOn w:val="Normlny"/>
    <w:next w:val="Objetacteprincipal"/>
    <w:uiPriority w:val="99"/>
    <w:rsid w:val="00CE7CAD"/>
    <w:pPr>
      <w:spacing w:before="0" w:after="240"/>
      <w:jc w:val="center"/>
    </w:pPr>
    <w:rPr>
      <w:b/>
    </w:rPr>
  </w:style>
  <w:style w:type="paragraph" w:customStyle="1" w:styleId="Objetacteprincipal">
    <w:name w:val="Objet acte principal"/>
    <w:basedOn w:val="Normlny"/>
    <w:next w:val="Titrearticle"/>
    <w:uiPriority w:val="99"/>
    <w:rsid w:val="00CE7CAD"/>
    <w:pPr>
      <w:spacing w:before="0" w:after="360"/>
      <w:jc w:val="center"/>
    </w:pPr>
    <w:rPr>
      <w:b/>
    </w:rPr>
  </w:style>
  <w:style w:type="paragraph" w:customStyle="1" w:styleId="IntrtEEEPagedecouverture">
    <w:name w:val="Intérêt EEE (Page de couverture)"/>
    <w:basedOn w:val="IntrtEEE"/>
    <w:next w:val="Rfrencecroise"/>
    <w:uiPriority w:val="99"/>
    <w:rsid w:val="00CE7CAD"/>
  </w:style>
  <w:style w:type="paragraph" w:customStyle="1" w:styleId="AccompagnantPagedecouverture">
    <w:name w:val="Accompagnant (Page de couverture)"/>
    <w:basedOn w:val="Accompagnant"/>
    <w:next w:val="TypeacteprincipalPagedecouverture"/>
    <w:uiPriority w:val="99"/>
    <w:rsid w:val="00CE7CAD"/>
  </w:style>
  <w:style w:type="paragraph" w:customStyle="1" w:styleId="TypeacteprincipalPagedecouverture">
    <w:name w:val="Type acte principal (Page de couverture)"/>
    <w:basedOn w:val="Typeacteprincipal"/>
    <w:next w:val="ObjetacteprincipalPagedecouverture"/>
    <w:uiPriority w:val="99"/>
    <w:rsid w:val="00CE7CAD"/>
  </w:style>
  <w:style w:type="paragraph" w:customStyle="1" w:styleId="ObjetacteprincipalPagedecouverture">
    <w:name w:val="Objet acte principal (Page de couverture)"/>
    <w:basedOn w:val="Objetacteprincipal"/>
    <w:next w:val="Rfrencecroise"/>
    <w:uiPriority w:val="99"/>
    <w:rsid w:val="00CE7CAD"/>
  </w:style>
  <w:style w:type="paragraph" w:customStyle="1" w:styleId="LanguesfaisantfoiPagedecouverture">
    <w:name w:val="Langues faisant foi (Page de couverture)"/>
    <w:basedOn w:val="Normlny"/>
    <w:next w:val="Normlny"/>
    <w:uiPriority w:val="99"/>
    <w:rsid w:val="00CE7CAD"/>
    <w:pPr>
      <w:spacing w:before="360" w:after="0"/>
      <w:jc w:val="center"/>
    </w:pPr>
  </w:style>
  <w:style w:type="paragraph" w:customStyle="1" w:styleId="Annexetitreacte">
    <w:name w:val="Annexe titre (acte)"/>
    <w:basedOn w:val="Normlny"/>
    <w:next w:val="Normlny"/>
    <w:uiPriority w:val="99"/>
    <w:rsid w:val="00E57CAB"/>
    <w:pPr>
      <w:jc w:val="center"/>
    </w:pPr>
    <w:rPr>
      <w:b/>
      <w:u w:val="single"/>
      <w:lang w:eastAsia="de-DE"/>
    </w:rPr>
  </w:style>
  <w:style w:type="paragraph" w:styleId="Popis">
    <w:name w:val="caption"/>
    <w:basedOn w:val="Normlny"/>
    <w:next w:val="Normlny"/>
    <w:uiPriority w:val="99"/>
    <w:qFormat/>
    <w:rsid w:val="00DB1D86"/>
    <w:rPr>
      <w:b/>
      <w:bCs/>
      <w:sz w:val="20"/>
      <w:szCs w:val="20"/>
    </w:rPr>
  </w:style>
  <w:style w:type="paragraph" w:styleId="Zoznamobrzkov">
    <w:name w:val="table of figures"/>
    <w:basedOn w:val="Normlny"/>
    <w:next w:val="Normlny"/>
    <w:uiPriority w:val="99"/>
    <w:semiHidden/>
    <w:rsid w:val="00DB1D86"/>
  </w:style>
  <w:style w:type="paragraph" w:styleId="Zoznamsodrkami">
    <w:name w:val="List Bullet"/>
    <w:basedOn w:val="Normlny"/>
    <w:uiPriority w:val="99"/>
    <w:rsid w:val="00DB1D86"/>
    <w:pPr>
      <w:numPr>
        <w:numId w:val="25"/>
      </w:numPr>
    </w:pPr>
  </w:style>
  <w:style w:type="paragraph" w:styleId="Zoznamsodrkami2">
    <w:name w:val="List Bullet 2"/>
    <w:basedOn w:val="Normlny"/>
    <w:uiPriority w:val="99"/>
    <w:rsid w:val="00DB1D86"/>
    <w:pPr>
      <w:numPr>
        <w:numId w:val="26"/>
      </w:numPr>
    </w:pPr>
  </w:style>
  <w:style w:type="paragraph" w:styleId="Zoznamsodrkami3">
    <w:name w:val="List Bullet 3"/>
    <w:basedOn w:val="Normlny"/>
    <w:uiPriority w:val="99"/>
    <w:rsid w:val="00DB1D86"/>
    <w:pPr>
      <w:numPr>
        <w:numId w:val="22"/>
      </w:numPr>
    </w:pPr>
  </w:style>
  <w:style w:type="paragraph" w:styleId="Zoznamsodrkami4">
    <w:name w:val="List Bullet 4"/>
    <w:basedOn w:val="Normlny"/>
    <w:uiPriority w:val="99"/>
    <w:rsid w:val="00DB1D86"/>
    <w:pPr>
      <w:numPr>
        <w:numId w:val="23"/>
      </w:numPr>
    </w:pPr>
  </w:style>
  <w:style w:type="paragraph" w:styleId="slovanzoznam">
    <w:name w:val="List Number"/>
    <w:basedOn w:val="Normlny"/>
    <w:uiPriority w:val="99"/>
    <w:rsid w:val="00DB1D86"/>
    <w:pPr>
      <w:numPr>
        <w:numId w:val="24"/>
      </w:numPr>
    </w:pPr>
  </w:style>
  <w:style w:type="paragraph" w:styleId="slovanzoznam2">
    <w:name w:val="List Number 2"/>
    <w:basedOn w:val="Normlny"/>
    <w:uiPriority w:val="99"/>
    <w:rsid w:val="00DB1D86"/>
    <w:pPr>
      <w:numPr>
        <w:numId w:val="27"/>
      </w:numPr>
    </w:pPr>
  </w:style>
  <w:style w:type="paragraph" w:styleId="slovanzoznam3">
    <w:name w:val="List Number 3"/>
    <w:basedOn w:val="Normlny"/>
    <w:uiPriority w:val="99"/>
    <w:rsid w:val="00DB1D86"/>
    <w:pPr>
      <w:numPr>
        <w:numId w:val="28"/>
      </w:numPr>
    </w:pPr>
  </w:style>
  <w:style w:type="paragraph" w:styleId="slovanzoznam4">
    <w:name w:val="List Number 4"/>
    <w:basedOn w:val="Normlny"/>
    <w:uiPriority w:val="99"/>
    <w:rsid w:val="00DB1D86"/>
    <w:pPr>
      <w:numPr>
        <w:numId w:val="29"/>
      </w:numPr>
    </w:pPr>
  </w:style>
  <w:style w:type="character" w:styleId="Odkaznakomentr">
    <w:name w:val="annotation reference"/>
    <w:basedOn w:val="Predvolenpsmoodseku"/>
    <w:uiPriority w:val="99"/>
    <w:semiHidden/>
    <w:rsid w:val="00DB1D86"/>
    <w:rPr>
      <w:rFonts w:cs="Times New Roman"/>
      <w:sz w:val="16"/>
      <w:szCs w:val="16"/>
      <w:shd w:val="clear" w:color="auto" w:fill="auto"/>
    </w:rPr>
  </w:style>
  <w:style w:type="paragraph" w:styleId="Textkomentra">
    <w:name w:val="annotation text"/>
    <w:basedOn w:val="Normlny"/>
    <w:link w:val="TextkomentraChar"/>
    <w:uiPriority w:val="99"/>
    <w:semiHidden/>
    <w:rsid w:val="00DB1D86"/>
    <w:rPr>
      <w:sz w:val="20"/>
      <w:szCs w:val="20"/>
    </w:rPr>
  </w:style>
  <w:style w:type="character" w:customStyle="1" w:styleId="TextkomentraChar">
    <w:name w:val="Text komentára Char"/>
    <w:basedOn w:val="Predvolenpsmoodseku"/>
    <w:link w:val="Textkomentra"/>
    <w:uiPriority w:val="99"/>
    <w:semiHidden/>
    <w:rPr>
      <w:sz w:val="20"/>
      <w:szCs w:val="20"/>
      <w:lang w:val="en-GB" w:eastAsia="en-US"/>
    </w:rPr>
  </w:style>
  <w:style w:type="paragraph" w:styleId="Predmetkomentra">
    <w:name w:val="annotation subject"/>
    <w:basedOn w:val="Textkomentra"/>
    <w:next w:val="Textkomentra"/>
    <w:link w:val="PredmetkomentraChar"/>
    <w:uiPriority w:val="99"/>
    <w:semiHidden/>
    <w:rsid w:val="00DB1D86"/>
    <w:rPr>
      <w:b/>
      <w:bCs/>
    </w:rPr>
  </w:style>
  <w:style w:type="character" w:customStyle="1" w:styleId="PredmetkomentraChar">
    <w:name w:val="Predmet komentára Char"/>
    <w:basedOn w:val="TextkomentraChar"/>
    <w:link w:val="Predmetkomentra"/>
    <w:uiPriority w:val="99"/>
    <w:semiHidden/>
    <w:rPr>
      <w:b/>
      <w:bCs/>
      <w:sz w:val="20"/>
      <w:szCs w:val="20"/>
      <w:lang w:val="en-GB" w:eastAsia="en-US"/>
    </w:rPr>
  </w:style>
  <w:style w:type="character" w:styleId="Hypertextovprepojenie">
    <w:name w:val="Hyperlink"/>
    <w:basedOn w:val="Predvolenpsmoodseku"/>
    <w:uiPriority w:val="99"/>
    <w:rsid w:val="00DB1D86"/>
    <w:rPr>
      <w:rFonts w:cs="Times New Roman"/>
      <w:color w:val="0000FF"/>
      <w:u w:val="single"/>
      <w:shd w:val="clear" w:color="auto" w:fill="auto"/>
    </w:rPr>
  </w:style>
  <w:style w:type="paragraph" w:styleId="Textbubliny">
    <w:name w:val="Balloon Text"/>
    <w:basedOn w:val="Normlny"/>
    <w:link w:val="TextbublinyChar"/>
    <w:uiPriority w:val="99"/>
    <w:semiHidden/>
    <w:rsid w:val="00DB1D8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lang w:val="en-GB" w:eastAsia="en-US"/>
    </w:rPr>
  </w:style>
  <w:style w:type="character" w:styleId="Zvraznenie">
    <w:name w:val="Emphasis"/>
    <w:basedOn w:val="Predvolenpsmoodseku"/>
    <w:uiPriority w:val="99"/>
    <w:qFormat/>
    <w:rsid w:val="00573E58"/>
    <w:rPr>
      <w:rFonts w:cs="Times New Roman"/>
      <w:i/>
      <w:iCs/>
      <w:shd w:val="clear" w:color="auto" w:fill="auto"/>
    </w:rPr>
  </w:style>
  <w:style w:type="character" w:styleId="slostrany">
    <w:name w:val="page number"/>
    <w:basedOn w:val="Predvolenpsmoodseku"/>
    <w:uiPriority w:val="99"/>
    <w:rsid w:val="00FC6241"/>
    <w:rPr>
      <w:rFonts w:cs="Times New Roman"/>
      <w:shd w:val="clear" w:color="auto" w:fill="auto"/>
    </w:rPr>
  </w:style>
  <w:style w:type="paragraph" w:customStyle="1" w:styleId="TextBoldCenterTogether">
    <w:name w:val="TextBoldCenterTogether"/>
    <w:basedOn w:val="Normlny"/>
    <w:uiPriority w:val="99"/>
    <w:rsid w:val="00806D9C"/>
    <w:pPr>
      <w:keepNext/>
      <w:keepLines/>
      <w:tabs>
        <w:tab w:val="left" w:pos="510"/>
        <w:tab w:val="left" w:pos="1021"/>
        <w:tab w:val="left" w:pos="1531"/>
        <w:tab w:val="left" w:pos="2041"/>
        <w:tab w:val="left" w:pos="2552"/>
        <w:tab w:val="left" w:pos="3062"/>
        <w:tab w:val="left" w:pos="3572"/>
        <w:tab w:val="left" w:pos="4082"/>
        <w:tab w:val="left" w:pos="4593"/>
        <w:tab w:val="left" w:pos="5103"/>
      </w:tabs>
      <w:spacing w:before="0"/>
      <w:jc w:val="center"/>
    </w:pPr>
    <w:rPr>
      <w:b/>
      <w:sz w:val="20"/>
      <w:szCs w:val="20"/>
      <w:lang w:val="fr-FR" w:eastAsia="ko-KR"/>
    </w:rPr>
  </w:style>
  <w:style w:type="paragraph" w:customStyle="1" w:styleId="TitleUNECE">
    <w:name w:val="TitleUNECE"/>
    <w:basedOn w:val="Normlny"/>
    <w:next w:val="Normlny"/>
    <w:autoRedefine/>
    <w:uiPriority w:val="99"/>
    <w:rsid w:val="00806D9C"/>
    <w:pPr>
      <w:widowControl w:val="0"/>
      <w:numPr>
        <w:numId w:val="30"/>
      </w:numPr>
      <w:tabs>
        <w:tab w:val="clear" w:pos="360"/>
        <w:tab w:val="left" w:pos="1260"/>
      </w:tabs>
      <w:autoSpaceDE w:val="0"/>
      <w:autoSpaceDN w:val="0"/>
      <w:adjustRightInd w:val="0"/>
      <w:spacing w:before="0" w:after="0"/>
      <w:ind w:left="1260" w:hanging="540"/>
    </w:pPr>
    <w:rPr>
      <w:bCs/>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6331874">
      <w:marLeft w:val="0"/>
      <w:marRight w:val="0"/>
      <w:marTop w:val="0"/>
      <w:marBottom w:val="0"/>
      <w:divBdr>
        <w:top w:val="none" w:sz="0" w:space="0" w:color="auto"/>
        <w:left w:val="none" w:sz="0" w:space="0" w:color="auto"/>
        <w:bottom w:val="none" w:sz="0" w:space="0" w:color="auto"/>
        <w:right w:val="none" w:sz="0" w:space="0" w:color="auto"/>
      </w:divBdr>
      <w:divsChild>
        <w:div w:id="1886331875">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886331876">
      <w:marLeft w:val="0"/>
      <w:marRight w:val="0"/>
      <w:marTop w:val="0"/>
      <w:marBottom w:val="0"/>
      <w:divBdr>
        <w:top w:val="none" w:sz="0" w:space="0" w:color="auto"/>
        <w:left w:val="none" w:sz="0" w:space="0" w:color="auto"/>
        <w:bottom w:val="none" w:sz="0" w:space="0" w:color="auto"/>
        <w:right w:val="none" w:sz="0" w:space="0" w:color="auto"/>
      </w:divBdr>
      <w:divsChild>
        <w:div w:id="1886331877">
          <w:marLeft w:val="322"/>
          <w:marRight w:val="322"/>
          <w:marTop w:val="0"/>
          <w:marBottom w:val="107"/>
          <w:divBdr>
            <w:top w:val="single" w:sz="4" w:space="5" w:color="112449"/>
            <w:left w:val="single" w:sz="4" w:space="5" w:color="112449"/>
            <w:bottom w:val="single" w:sz="4" w:space="5" w:color="112449"/>
            <w:right w:val="single" w:sz="4" w:space="5" w:color="112449"/>
          </w:divBdr>
        </w:div>
      </w:divsChild>
    </w:div>
    <w:div w:id="1886331878">
      <w:marLeft w:val="0"/>
      <w:marRight w:val="0"/>
      <w:marTop w:val="0"/>
      <w:marBottom w:val="0"/>
      <w:divBdr>
        <w:top w:val="none" w:sz="0" w:space="0" w:color="auto"/>
        <w:left w:val="none" w:sz="0" w:space="0" w:color="auto"/>
        <w:bottom w:val="none" w:sz="0" w:space="0" w:color="auto"/>
        <w:right w:val="none" w:sz="0" w:space="0" w:color="auto"/>
      </w:divBdr>
    </w:div>
    <w:div w:id="188633187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footer" Target="footer5.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ll%20users\templates\COM.dot"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COM</Template>
  <TotalTime>0</TotalTime>
  <Pages>3</Pages>
  <Words>2847</Words>
  <Characters>16230</Characters>
  <Application>Microsoft Office Word</Application>
  <DocSecurity>0</DocSecurity>
  <Lines>135</Lines>
  <Paragraphs>38</Paragraphs>
  <ScaleCrop>false</ScaleCrop>
  <Company/>
  <LinksUpToDate>false</LinksUpToDate>
  <CharactersWithSpaces>19039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cymboag</dc:creator>
  <cp:keywords/>
  <dc:description/>
  <cp:lastModifiedBy>Juraj GOGORA</cp:lastModifiedBy>
  <cp:revision>2</cp:revision>
  <cp:lastPrinted>2011-06-17T10:54:00Z</cp:lastPrinted>
  <dcterms:created xsi:type="dcterms:W3CDTF">2018-04-16T08:26:00Z</dcterms:created>
  <dcterms:modified xsi:type="dcterms:W3CDTF">2018-04-16T08:26:00Z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COM/AA</vt:lpwstr>
  </property>
  <property fmtid="{D5CDD505-2E9C-101B-9397-08002B2CF9AE}" pid="3" name="Classification">
    <vt:lpwstr> </vt:lpwstr>
  </property>
  <property fmtid="{D5CDD505-2E9C-101B-9397-08002B2CF9AE}" pid="4" name="Version">
    <vt:lpwstr>5.8.22.0</vt:lpwstr>
  </property>
  <property fmtid="{D5CDD505-2E9C-101B-9397-08002B2CF9AE}" pid="5" name="Created using">
    <vt:lpwstr>LW 5.8, Build 20110311</vt:lpwstr>
  </property>
  <property fmtid="{D5CDD505-2E9C-101B-9397-08002B2CF9AE}" pid="6" name="Last edited using">
    <vt:lpwstr>LW 5.8, Build 20110311</vt:lpwstr>
  </property>
  <property fmtid="{D5CDD505-2E9C-101B-9397-08002B2CF9AE}" pid="7" name="_TentativeReviewCycleID">
    <vt:i4>475349523</vt:i4>
  </property>
  <property fmtid="{D5CDD505-2E9C-101B-9397-08002B2CF9AE}" pid="8" name="_ReviewCycleID">
    <vt:i4>475349523</vt:i4>
  </property>
  <property fmtid="{D5CDD505-2E9C-101B-9397-08002B2CF9AE}" pid="9" name="_NewReviewCycle">
    <vt:lpwstr/>
  </property>
  <property fmtid="{D5CDD505-2E9C-101B-9397-08002B2CF9AE}" pid="10" name="_EmailEntryID">
    <vt:lpwstr>0000000072A322EF7795A54BA85EBBEA543496010700C74C1A47F9AA4A468DAA848EE586C2860000212EA2840000023B7BFFCDDCA64EAF5B24A39D909A0701297CBF53E60000</vt:lpwstr>
  </property>
  <property fmtid="{D5CDD505-2E9C-101B-9397-08002B2CF9AE}" pid="11" name="_EmailStoreID0">
    <vt:lpwstr>0000000038A1BB1005E5101AA1BB08002B2A56C20000454D534D44422E444C4C00000000000000001B55FA20AA6611CD9BC800AA002FC45A0C000000505041455843484D4258002F6F3D5050412F6F753D45786368616E67652041646D696E6973747261746976652047726F7570202846594449424F484632335350444C542</vt:lpwstr>
  </property>
  <property fmtid="{D5CDD505-2E9C-101B-9397-08002B2CF9AE}" pid="12" name="_EmailStoreID1">
    <vt:lpwstr>92F636E3D526563697069656E74732F636E3D6B6F7A61726F766100</vt:lpwstr>
  </property>
  <property fmtid="{D5CDD505-2E9C-101B-9397-08002B2CF9AE}" pid="13" name="_ReviewingToolsShownOnce">
    <vt:lpwstr/>
  </property>
</Properties>
</file>