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1272F8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49436B" w:rsidRPr="00201B6E" w:rsidRDefault="0049436B" w:rsidP="00D86CDA">
      <w:pPr>
        <w:pStyle w:val="Hlavika"/>
        <w:jc w:val="center"/>
        <w:rPr>
          <w:b/>
          <w:bCs/>
        </w:rPr>
      </w:pPr>
    </w:p>
    <w:p w:rsidR="00D86CDA" w:rsidRPr="00482588" w:rsidRDefault="00D86CDA" w:rsidP="00D86CDA">
      <w:pPr>
        <w:pStyle w:val="Zarkazkladnhotextu"/>
        <w:ind w:firstLine="257"/>
        <w:rPr>
          <w:color w:val="FF0000"/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</w:t>
      </w:r>
      <w:r w:rsidR="00185BA9">
        <w:rPr>
          <w:b/>
          <w:sz w:val="24"/>
          <w:lang w:eastAsia="sk-SK"/>
        </w:rPr>
        <w:t>/</w:t>
      </w:r>
      <w:r w:rsidR="00742D7E">
        <w:rPr>
          <w:b/>
          <w:sz w:val="24"/>
          <w:lang w:eastAsia="sk-SK"/>
        </w:rPr>
        <w:t>3</w:t>
      </w:r>
      <w:r w:rsidR="00CB36B7">
        <w:rPr>
          <w:b/>
          <w:sz w:val="24"/>
          <w:lang w:eastAsia="sk-SK"/>
        </w:rPr>
        <w:t>1</w:t>
      </w:r>
      <w:r w:rsidR="00482588">
        <w:rPr>
          <w:b/>
          <w:sz w:val="24"/>
          <w:lang w:eastAsia="sk-SK"/>
        </w:rPr>
        <w:t xml:space="preserve"> – </w:t>
      </w:r>
      <w:r w:rsidR="00482588">
        <w:rPr>
          <w:b/>
          <w:color w:val="FF0000"/>
          <w:sz w:val="24"/>
          <w:lang w:eastAsia="sk-SK"/>
        </w:rPr>
        <w:t>aktualizácia č. 1</w:t>
      </w:r>
    </w:p>
    <w:p w:rsidR="008769D3" w:rsidRDefault="008769D3" w:rsidP="008769D3">
      <w:pPr>
        <w:pStyle w:val="Zarkazkladnhotextu"/>
        <w:rPr>
          <w:sz w:val="24"/>
          <w:lang w:eastAsia="sk-SK"/>
        </w:rPr>
      </w:pPr>
    </w:p>
    <w:p w:rsidR="0049436B" w:rsidRPr="00201B6E" w:rsidRDefault="0049436B" w:rsidP="008769D3">
      <w:pPr>
        <w:pStyle w:val="Zarkazkladnhotextu"/>
        <w:rPr>
          <w:sz w:val="24"/>
          <w:lang w:eastAsia="sk-SK"/>
        </w:rPr>
      </w:pPr>
    </w:p>
    <w:p w:rsidR="00D86CDA" w:rsidRPr="00A05119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A05119">
        <w:rPr>
          <w:color w:val="000000"/>
          <w:sz w:val="24"/>
          <w:szCs w:val="24"/>
        </w:rPr>
        <w:t xml:space="preserve">Pôdohospodárska platobná agentúra </w:t>
      </w:r>
      <w:r w:rsidR="00342255" w:rsidRPr="00A05119">
        <w:rPr>
          <w:color w:val="000000"/>
          <w:sz w:val="24"/>
          <w:szCs w:val="24"/>
        </w:rPr>
        <w:t xml:space="preserve">(ďalej len </w:t>
      </w:r>
      <w:r w:rsidR="00A6176F" w:rsidRPr="00A05119">
        <w:rPr>
          <w:color w:val="000000"/>
          <w:sz w:val="24"/>
          <w:szCs w:val="24"/>
        </w:rPr>
        <w:t>„</w:t>
      </w:r>
      <w:r w:rsidR="00342255" w:rsidRPr="00A05119">
        <w:rPr>
          <w:color w:val="000000"/>
          <w:sz w:val="24"/>
          <w:szCs w:val="24"/>
        </w:rPr>
        <w:t>PPA</w:t>
      </w:r>
      <w:r w:rsidR="00A6176F" w:rsidRPr="00A05119">
        <w:rPr>
          <w:color w:val="000000"/>
          <w:sz w:val="24"/>
          <w:szCs w:val="24"/>
        </w:rPr>
        <w:t>“</w:t>
      </w:r>
      <w:r w:rsidR="00342255" w:rsidRPr="00A05119">
        <w:rPr>
          <w:color w:val="000000"/>
          <w:sz w:val="24"/>
          <w:szCs w:val="24"/>
        </w:rPr>
        <w:t xml:space="preserve">) </w:t>
      </w:r>
      <w:r w:rsidRPr="00A05119">
        <w:rPr>
          <w:color w:val="000000"/>
          <w:sz w:val="24"/>
          <w:szCs w:val="24"/>
        </w:rPr>
        <w:t xml:space="preserve">na základe súhlasu </w:t>
      </w:r>
      <w:r w:rsidRPr="00A05119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A05119">
        <w:rPr>
          <w:color w:val="000000"/>
          <w:sz w:val="24"/>
          <w:szCs w:val="24"/>
        </w:rPr>
        <w:t>(ďalej len „MPRV</w:t>
      </w:r>
      <w:r w:rsidR="00B359AB" w:rsidRPr="00A05119">
        <w:rPr>
          <w:color w:val="000000"/>
          <w:sz w:val="24"/>
          <w:szCs w:val="24"/>
        </w:rPr>
        <w:t xml:space="preserve"> SR</w:t>
      </w:r>
      <w:r w:rsidRPr="00A05119">
        <w:rPr>
          <w:color w:val="000000"/>
          <w:sz w:val="24"/>
          <w:szCs w:val="24"/>
        </w:rPr>
        <w:t>“)</w:t>
      </w:r>
      <w:r w:rsidRPr="00A05119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A05119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A05119">
        <w:rPr>
          <w:bCs/>
          <w:color w:val="000000"/>
          <w:sz w:val="24"/>
          <w:szCs w:val="24"/>
        </w:rPr>
        <w:t xml:space="preserve">vyhlasuje </w:t>
      </w:r>
      <w:r w:rsidR="004108D7" w:rsidRPr="00A05119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A05119">
        <w:rPr>
          <w:b/>
          <w:bCs/>
          <w:color w:val="000000"/>
          <w:sz w:val="24"/>
          <w:szCs w:val="24"/>
        </w:rPr>
        <w:t xml:space="preserve"> </w:t>
      </w:r>
      <w:r w:rsidR="002F3AF0" w:rsidRPr="00A05119">
        <w:rPr>
          <w:b/>
          <w:bCs/>
          <w:color w:val="000000"/>
          <w:sz w:val="24"/>
          <w:szCs w:val="24"/>
        </w:rPr>
        <w:t>výzvu na</w:t>
      </w:r>
      <w:r w:rsidRPr="00A05119">
        <w:rPr>
          <w:b/>
          <w:bCs/>
          <w:color w:val="000000"/>
          <w:sz w:val="24"/>
          <w:szCs w:val="24"/>
        </w:rPr>
        <w:t xml:space="preserve"> predkladani</w:t>
      </w:r>
      <w:r w:rsidR="00510471" w:rsidRPr="00A05119">
        <w:rPr>
          <w:b/>
          <w:bCs/>
          <w:color w:val="000000"/>
          <w:sz w:val="24"/>
          <w:szCs w:val="24"/>
        </w:rPr>
        <w:t>e</w:t>
      </w:r>
      <w:r w:rsidRPr="00A05119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A05119">
        <w:rPr>
          <w:color w:val="000000"/>
          <w:sz w:val="24"/>
          <w:szCs w:val="24"/>
        </w:rPr>
        <w:t xml:space="preserve"> (ďalej len „</w:t>
      </w:r>
      <w:r w:rsidR="002F3AF0" w:rsidRPr="00A05119">
        <w:rPr>
          <w:color w:val="000000"/>
          <w:sz w:val="24"/>
          <w:szCs w:val="24"/>
        </w:rPr>
        <w:t>Výzva</w:t>
      </w:r>
      <w:r w:rsidRPr="00A05119">
        <w:rPr>
          <w:color w:val="000000"/>
          <w:sz w:val="24"/>
          <w:szCs w:val="24"/>
        </w:rPr>
        <w:t>“),</w:t>
      </w:r>
    </w:p>
    <w:p w:rsidR="008769D3" w:rsidRPr="00A05119" w:rsidRDefault="008769D3" w:rsidP="00D86CDA">
      <w:pPr>
        <w:pStyle w:val="Zarkazkladnhotextu"/>
        <w:ind w:firstLine="257"/>
        <w:rPr>
          <w:sz w:val="24"/>
          <w:szCs w:val="24"/>
          <w:lang w:eastAsia="sk-SK"/>
        </w:rPr>
      </w:pPr>
    </w:p>
    <w:p w:rsidR="00D86CDA" w:rsidRDefault="00D86CDA" w:rsidP="00CB36B7">
      <w:pPr>
        <w:jc w:val="center"/>
        <w:rPr>
          <w:b/>
          <w:bCs/>
          <w:sz w:val="22"/>
        </w:rPr>
      </w:pPr>
      <w:r w:rsidRPr="00A05119">
        <w:rPr>
          <w:b/>
        </w:rPr>
        <w:t xml:space="preserve">pre opatrenie </w:t>
      </w:r>
      <w:r w:rsidR="00CB36B7" w:rsidRPr="00464EB6">
        <w:rPr>
          <w:sz w:val="22"/>
        </w:rPr>
        <w:t xml:space="preserve"> </w:t>
      </w:r>
      <w:r w:rsidR="00CB36B7" w:rsidRPr="00464EB6">
        <w:rPr>
          <w:rFonts w:ascii="TimesNewRoman,Bold" w:hAnsi="TimesNewRoman,Bold" w:cs="TimesNewRoman,Bold"/>
          <w:b/>
          <w:bCs/>
          <w:sz w:val="22"/>
        </w:rPr>
        <w:t xml:space="preserve">2.1 </w:t>
      </w:r>
      <w:r w:rsidR="00CB36B7" w:rsidRPr="00464EB6">
        <w:rPr>
          <w:b/>
          <w:bCs/>
          <w:sz w:val="22"/>
        </w:rPr>
        <w:t>Obnova potenciálu lesného hospodárstva a zavedenie preventívnych opatrení</w:t>
      </w:r>
    </w:p>
    <w:p w:rsidR="00CB36B7" w:rsidRDefault="00CB36B7" w:rsidP="00CB36B7">
      <w:pPr>
        <w:jc w:val="center"/>
        <w:rPr>
          <w:b/>
        </w:rPr>
      </w:pPr>
    </w:p>
    <w:p w:rsidR="007D01EC" w:rsidRPr="00A05119" w:rsidRDefault="007D01EC" w:rsidP="00CB36B7">
      <w:pPr>
        <w:jc w:val="center"/>
        <w:rPr>
          <w:b/>
        </w:rPr>
      </w:pPr>
    </w:p>
    <w:p w:rsidR="00D86CDA" w:rsidRPr="00EA1C74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color w:val="FF0000"/>
          <w:sz w:val="24"/>
          <w:szCs w:val="24"/>
          <w:lang w:eastAsia="sk-SK"/>
        </w:rPr>
      </w:pPr>
      <w:r w:rsidRPr="00A05119">
        <w:rPr>
          <w:b/>
          <w:sz w:val="24"/>
          <w:szCs w:val="24"/>
          <w:lang w:eastAsia="sk-SK"/>
        </w:rPr>
        <w:t>v </w:t>
      </w:r>
      <w:r w:rsidRPr="006F54A8">
        <w:rPr>
          <w:b/>
          <w:sz w:val="24"/>
          <w:szCs w:val="24"/>
          <w:lang w:eastAsia="sk-SK"/>
        </w:rPr>
        <w:t xml:space="preserve">termíne  od </w:t>
      </w:r>
      <w:r w:rsidR="007B071B" w:rsidRPr="00EA1C74">
        <w:rPr>
          <w:b/>
          <w:color w:val="000000" w:themeColor="text1"/>
          <w:sz w:val="24"/>
          <w:szCs w:val="24"/>
          <w:lang w:eastAsia="sk-SK"/>
        </w:rPr>
        <w:t>0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3</w:t>
      </w:r>
      <w:r w:rsidRPr="00EA1C74">
        <w:rPr>
          <w:b/>
          <w:color w:val="000000" w:themeColor="text1"/>
          <w:sz w:val="24"/>
          <w:szCs w:val="24"/>
          <w:lang w:eastAsia="sk-SK"/>
        </w:rPr>
        <w:t>.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02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.201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4</w:t>
      </w:r>
      <w:r w:rsidRPr="00EA1C74">
        <w:rPr>
          <w:b/>
          <w:color w:val="000000" w:themeColor="text1"/>
          <w:sz w:val="24"/>
          <w:szCs w:val="24"/>
          <w:lang w:eastAsia="sk-SK"/>
        </w:rPr>
        <w:t xml:space="preserve"> do </w:t>
      </w:r>
      <w:r w:rsidR="00CD4FF7" w:rsidRPr="00EA1C74">
        <w:rPr>
          <w:b/>
          <w:color w:val="000000" w:themeColor="text1"/>
          <w:sz w:val="24"/>
          <w:szCs w:val="24"/>
          <w:lang w:eastAsia="sk-SK"/>
        </w:rPr>
        <w:t>30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.</w:t>
      </w:r>
      <w:r w:rsidR="00CD4FF7" w:rsidRPr="00EA1C74">
        <w:rPr>
          <w:b/>
          <w:color w:val="000000" w:themeColor="text1"/>
          <w:sz w:val="24"/>
          <w:szCs w:val="24"/>
          <w:lang w:eastAsia="sk-SK"/>
        </w:rPr>
        <w:t>04</w:t>
      </w:r>
      <w:r w:rsidRPr="00EA1C74">
        <w:rPr>
          <w:b/>
          <w:color w:val="000000" w:themeColor="text1"/>
          <w:sz w:val="24"/>
          <w:szCs w:val="24"/>
          <w:lang w:eastAsia="sk-SK"/>
        </w:rPr>
        <w:t>.20</w:t>
      </w:r>
      <w:r w:rsidR="008769D3" w:rsidRPr="00EA1C74">
        <w:rPr>
          <w:b/>
          <w:color w:val="000000" w:themeColor="text1"/>
          <w:sz w:val="24"/>
          <w:szCs w:val="24"/>
          <w:lang w:eastAsia="sk-SK"/>
        </w:rPr>
        <w:t>1</w:t>
      </w:r>
      <w:r w:rsidR="00CB36B7" w:rsidRPr="00EA1C74">
        <w:rPr>
          <w:b/>
          <w:color w:val="000000" w:themeColor="text1"/>
          <w:sz w:val="24"/>
          <w:szCs w:val="24"/>
          <w:lang w:eastAsia="sk-SK"/>
        </w:rPr>
        <w:t>4</w:t>
      </w:r>
      <w:r w:rsidRPr="00EA1C74">
        <w:rPr>
          <w:b/>
          <w:color w:val="FF0000"/>
          <w:sz w:val="24"/>
          <w:szCs w:val="24"/>
          <w:lang w:eastAsia="sk-SK"/>
        </w:rPr>
        <w:t xml:space="preserve"> </w:t>
      </w:r>
    </w:p>
    <w:p w:rsidR="00D86CDA" w:rsidRPr="006F54A8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szCs w:val="24"/>
          <w:lang w:eastAsia="sk-SK"/>
        </w:rPr>
      </w:pPr>
    </w:p>
    <w:p w:rsidR="00D86CDA" w:rsidRPr="006F54A8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6F54A8">
        <w:rPr>
          <w:b/>
          <w:bCs/>
        </w:rPr>
        <w:t>Rozpočet</w:t>
      </w:r>
    </w:p>
    <w:p w:rsidR="007D01EC" w:rsidRPr="006F54A8" w:rsidRDefault="007D01EC" w:rsidP="00D86CDA">
      <w:pPr>
        <w:tabs>
          <w:tab w:val="left" w:pos="540"/>
        </w:tabs>
        <w:spacing w:line="280" w:lineRule="exact"/>
        <w:rPr>
          <w:b/>
          <w:bCs/>
        </w:rPr>
      </w:pPr>
    </w:p>
    <w:p w:rsidR="008769D3" w:rsidRPr="006F54A8" w:rsidRDefault="00D847AB" w:rsidP="00007D2E">
      <w:pPr>
        <w:spacing w:after="120" w:line="276" w:lineRule="auto"/>
        <w:jc w:val="both"/>
        <w:rPr>
          <w:b/>
        </w:rPr>
      </w:pPr>
      <w:r w:rsidRPr="006F54A8">
        <w:rPr>
          <w:b/>
          <w:bCs/>
        </w:rPr>
        <w:t>Indikatívny finančný rámec</w:t>
      </w:r>
      <w:r w:rsidRPr="006F54A8">
        <w:rPr>
          <w:b/>
        </w:rPr>
        <w:t xml:space="preserve"> </w:t>
      </w:r>
      <w:r w:rsidR="008769D3" w:rsidRPr="006F54A8">
        <w:rPr>
          <w:b/>
        </w:rPr>
        <w:t>disponibilných finančnýc</w:t>
      </w:r>
      <w:r w:rsidR="009F6F39" w:rsidRPr="006F54A8">
        <w:rPr>
          <w:b/>
        </w:rPr>
        <w:t>h prostriedkov pre Výzvu č. 2013</w:t>
      </w:r>
      <w:r w:rsidR="00742D7E" w:rsidRPr="006F54A8">
        <w:rPr>
          <w:b/>
        </w:rPr>
        <w:t>/PRV/3</w:t>
      </w:r>
      <w:r w:rsidR="00CB36B7" w:rsidRPr="006F54A8">
        <w:rPr>
          <w:b/>
        </w:rPr>
        <w:t>1</w:t>
      </w:r>
      <w:r w:rsidR="008769D3" w:rsidRPr="006F54A8">
        <w:rPr>
          <w:b/>
        </w:rPr>
        <w:t xml:space="preserve"> je </w:t>
      </w:r>
      <w:r w:rsidR="000F49B2" w:rsidRPr="006F54A8">
        <w:rPr>
          <w:b/>
        </w:rPr>
        <w:t>24 224 022,00</w:t>
      </w:r>
      <w:r w:rsidR="00742D7E" w:rsidRPr="006F54A8">
        <w:rPr>
          <w:b/>
        </w:rPr>
        <w:t xml:space="preserve"> EU</w:t>
      </w:r>
      <w:r w:rsidR="008769D3" w:rsidRPr="006F54A8">
        <w:rPr>
          <w:b/>
        </w:rPr>
        <w:t>R</w:t>
      </w:r>
      <w:r w:rsidR="00A46CB5" w:rsidRPr="006F54A8">
        <w:rPr>
          <w:b/>
        </w:rPr>
        <w:t>, z toho pre:</w:t>
      </w:r>
    </w:p>
    <w:p w:rsidR="00A46CB5" w:rsidRPr="006F54A8" w:rsidRDefault="00A46CB5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>Cieľ Konvergencia</w:t>
      </w:r>
      <w:r w:rsidR="006345D1" w:rsidRPr="006F54A8">
        <w:rPr>
          <w:b/>
        </w:rPr>
        <w:t>:</w:t>
      </w:r>
      <w:r w:rsidR="000B11D3" w:rsidRPr="006F54A8">
        <w:rPr>
          <w:b/>
        </w:rPr>
        <w:t xml:space="preserve"> </w:t>
      </w:r>
      <w:r w:rsidR="000F49B2" w:rsidRPr="006F54A8">
        <w:rPr>
          <w:b/>
        </w:rPr>
        <w:t>22 824 022,00</w:t>
      </w:r>
      <w:r w:rsidR="005D2437" w:rsidRPr="006F54A8">
        <w:rPr>
          <w:b/>
        </w:rPr>
        <w:t xml:space="preserve"> </w:t>
      </w:r>
      <w:r w:rsidR="006345D1" w:rsidRPr="006F54A8">
        <w:rPr>
          <w:b/>
        </w:rPr>
        <w:t>EUR</w:t>
      </w:r>
    </w:p>
    <w:p w:rsidR="006345D1" w:rsidRPr="006F54A8" w:rsidRDefault="006345D1" w:rsidP="00007D2E">
      <w:pPr>
        <w:numPr>
          <w:ilvl w:val="0"/>
          <w:numId w:val="10"/>
        </w:numPr>
        <w:spacing w:line="276" w:lineRule="auto"/>
        <w:ind w:left="709" w:hanging="283"/>
        <w:jc w:val="both"/>
        <w:rPr>
          <w:b/>
        </w:rPr>
      </w:pPr>
      <w:r w:rsidRPr="006F54A8">
        <w:rPr>
          <w:b/>
        </w:rPr>
        <w:t xml:space="preserve">Oblasti mimo cieľa Konvergencia: </w:t>
      </w:r>
      <w:r w:rsidR="000F49B2" w:rsidRPr="006F54A8">
        <w:rPr>
          <w:b/>
        </w:rPr>
        <w:t>1 400 000,00</w:t>
      </w:r>
      <w:r w:rsidR="00742D7E" w:rsidRPr="006F54A8">
        <w:rPr>
          <w:b/>
        </w:rPr>
        <w:t xml:space="preserve"> </w:t>
      </w:r>
      <w:r w:rsidRPr="006F54A8">
        <w:rPr>
          <w:b/>
        </w:rPr>
        <w:t>EUR</w:t>
      </w:r>
    </w:p>
    <w:p w:rsidR="00A46CB5" w:rsidRPr="00A05119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EA4B91" w:rsidRDefault="00EA4B91" w:rsidP="0097206A">
      <w:pPr>
        <w:pStyle w:val="Odsekzoznamu"/>
        <w:numPr>
          <w:ilvl w:val="0"/>
          <w:numId w:val="33"/>
        </w:numPr>
        <w:spacing w:after="0"/>
        <w:ind w:left="284" w:hanging="284"/>
        <w:jc w:val="both"/>
        <w:rPr>
          <w:b/>
        </w:rPr>
      </w:pPr>
      <w:r w:rsidRPr="00D72543">
        <w:rPr>
          <w:b/>
        </w:rPr>
        <w:t>Konečný prijímateľ (oprávnený žiadateľ)</w:t>
      </w:r>
    </w:p>
    <w:p w:rsidR="00CB36B7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</w:p>
    <w:p w:rsidR="00CB36B7" w:rsidRPr="008831B4" w:rsidRDefault="00CB36B7" w:rsidP="00CB36B7">
      <w:p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Fyzické a právnické osoby obhospodarujúce lesy vo vlastníctve: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súkromných vlastníkov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obcí a ich združení;</w:t>
      </w:r>
    </w:p>
    <w:p w:rsidR="00CB36B7" w:rsidRPr="008831B4" w:rsidRDefault="00CB36B7" w:rsidP="00946B52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sz w:val="22"/>
        </w:rPr>
      </w:pPr>
      <w:r w:rsidRPr="008831B4">
        <w:rPr>
          <w:sz w:val="22"/>
        </w:rPr>
        <w:t>cirkvi, ktorej majetok možno podľa právneho poriadku SR považovať za súkromný, pokiaľ ide o jeho správu a nakladanie s ním. Vlastník má práva a povinnosti zakotvené v obchodnom zákonníku;</w:t>
      </w:r>
    </w:p>
    <w:p w:rsidR="00CB36B7" w:rsidRPr="008831B4" w:rsidRDefault="00CB36B7" w:rsidP="007D01EC">
      <w:pPr>
        <w:numPr>
          <w:ilvl w:val="0"/>
          <w:numId w:val="43"/>
        </w:numPr>
        <w:autoSpaceDE w:val="0"/>
        <w:autoSpaceDN w:val="0"/>
        <w:adjustRightInd w:val="0"/>
        <w:ind w:left="714" w:hanging="357"/>
        <w:jc w:val="both"/>
        <w:rPr>
          <w:b/>
          <w:sz w:val="22"/>
        </w:rPr>
      </w:pPr>
      <w:r w:rsidRPr="008831B4">
        <w:rPr>
          <w:sz w:val="22"/>
        </w:rPr>
        <w:t>štátu.</w:t>
      </w:r>
      <w:r w:rsidRPr="008831B4" w:rsidDel="000264C7">
        <w:rPr>
          <w:sz w:val="22"/>
        </w:rPr>
        <w:t xml:space="preserve"> </w:t>
      </w:r>
    </w:p>
    <w:p w:rsidR="0097206A" w:rsidRPr="00D72543" w:rsidRDefault="0097206A" w:rsidP="0097206A">
      <w:pPr>
        <w:pStyle w:val="Odsekzoznamu"/>
        <w:spacing w:after="0"/>
        <w:ind w:left="284"/>
        <w:jc w:val="both"/>
        <w:rPr>
          <w:b/>
        </w:rPr>
      </w:pPr>
    </w:p>
    <w:p w:rsidR="00CB36B7" w:rsidRPr="00CB36B7" w:rsidRDefault="00CB36B7" w:rsidP="00CB36B7">
      <w:pPr>
        <w:pStyle w:val="Odsekzoznamu"/>
        <w:numPr>
          <w:ilvl w:val="0"/>
          <w:numId w:val="11"/>
        </w:numPr>
        <w:tabs>
          <w:tab w:val="clear" w:pos="720"/>
          <w:tab w:val="num" w:pos="284"/>
        </w:tabs>
        <w:autoSpaceDE w:val="0"/>
        <w:autoSpaceDN w:val="0"/>
        <w:adjustRightInd w:val="0"/>
        <w:spacing w:after="0"/>
        <w:ind w:hanging="720"/>
        <w:jc w:val="both"/>
        <w:rPr>
          <w:b/>
        </w:rPr>
      </w:pPr>
      <w:r w:rsidRPr="00CB36B7">
        <w:rPr>
          <w:b/>
        </w:rPr>
        <w:t>Minimálne výdavky na jednu ŽoNFP  sú 5 000 EUR a maximálne 700 000 EUR.</w:t>
      </w:r>
    </w:p>
    <w:p w:rsidR="00526169" w:rsidRPr="00A05119" w:rsidRDefault="00526169" w:rsidP="00526169">
      <w:pPr>
        <w:pStyle w:val="Zkladntextb"/>
        <w:ind w:left="720"/>
        <w:rPr>
          <w:u w:val="single"/>
        </w:rPr>
      </w:pPr>
    </w:p>
    <w:p w:rsidR="008A0B27" w:rsidRPr="00A05119" w:rsidRDefault="008A0B27" w:rsidP="00A05119">
      <w:pPr>
        <w:pStyle w:val="Odsekzoznamu"/>
        <w:numPr>
          <w:ilvl w:val="0"/>
          <w:numId w:val="11"/>
        </w:numPr>
        <w:tabs>
          <w:tab w:val="clear" w:pos="720"/>
          <w:tab w:val="num" w:pos="567"/>
        </w:tabs>
        <w:autoSpaceDE w:val="0"/>
        <w:autoSpaceDN w:val="0"/>
        <w:adjustRightInd w:val="0"/>
        <w:ind w:left="284" w:hanging="284"/>
        <w:jc w:val="both"/>
        <w:rPr>
          <w:b/>
          <w:szCs w:val="24"/>
        </w:rPr>
      </w:pPr>
      <w:r w:rsidRPr="00A05119">
        <w:rPr>
          <w:b/>
          <w:szCs w:val="24"/>
        </w:rPr>
        <w:t>Intenzita pomoci</w:t>
      </w: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>Výšku pomoci z EPFRV a národných zdrojov upravuje článok 70 nariadenia Rady (ES)č. 1698/2005. Platba je pri dodržaní stanovených podmienok poskytovaná v plnej výške z verejných zdrojov.</w:t>
      </w:r>
    </w:p>
    <w:p w:rsidR="007D01EC" w:rsidRDefault="007D01EC" w:rsidP="007D01EC">
      <w:pPr>
        <w:autoSpaceDE w:val="0"/>
        <w:autoSpaceDN w:val="0"/>
        <w:adjustRightInd w:val="0"/>
        <w:jc w:val="both"/>
      </w:pPr>
    </w:p>
    <w:p w:rsidR="00CB36B7" w:rsidRPr="007D01EC" w:rsidRDefault="00CB36B7" w:rsidP="007D01EC">
      <w:pPr>
        <w:autoSpaceDE w:val="0"/>
        <w:autoSpaceDN w:val="0"/>
        <w:adjustRightInd w:val="0"/>
        <w:jc w:val="both"/>
      </w:pPr>
      <w:r w:rsidRPr="007D01EC">
        <w:t>Maximálna výška pomoci z celkových oprávnených výdavkov: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lastRenderedPageBreak/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(80 % EÚ a 20 % SR) pre oblasti cieľa Konvergencia;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  <w:r w:rsidRPr="00FE554C">
        <w:rPr>
          <w:szCs w:val="24"/>
        </w:rPr>
        <w:t xml:space="preserve">– </w:t>
      </w:r>
      <w:r w:rsidRPr="00FE554C">
        <w:rPr>
          <w:b/>
          <w:bCs/>
          <w:szCs w:val="24"/>
        </w:rPr>
        <w:t xml:space="preserve">100 % </w:t>
      </w:r>
      <w:r w:rsidRPr="00FE554C">
        <w:rPr>
          <w:szCs w:val="24"/>
        </w:rPr>
        <w:t>(55 % EÚ a 45 % SR) pre Ostatné oblasti.</w:t>
      </w:r>
    </w:p>
    <w:p w:rsidR="00CB36B7" w:rsidRPr="00FE554C" w:rsidRDefault="00CB36B7" w:rsidP="003052C9">
      <w:pPr>
        <w:pStyle w:val="Odsekzoznamu"/>
        <w:autoSpaceDE w:val="0"/>
        <w:autoSpaceDN w:val="0"/>
        <w:adjustRightInd w:val="0"/>
        <w:jc w:val="both"/>
        <w:rPr>
          <w:szCs w:val="24"/>
        </w:rPr>
      </w:pPr>
    </w:p>
    <w:p w:rsidR="00CB36B7" w:rsidRPr="00FE554C" w:rsidRDefault="00CB36B7" w:rsidP="003052C9">
      <w:pPr>
        <w:autoSpaceDE w:val="0"/>
        <w:autoSpaceDN w:val="0"/>
        <w:adjustRightInd w:val="0"/>
        <w:jc w:val="both"/>
      </w:pPr>
      <w:r w:rsidRPr="00FE554C">
        <w:t xml:space="preserve">Ak žiadateľ s výmerou lesa do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 xml:space="preserve">– zvlášť na cieľ Konvergencie a zvlášť na Ostatné oblasti, avšak suma spolu oboch žiadostí musí byť v rozpätí minimálnej a maximálnej výšky oprávnených výdavkov na jeden projekt. Ak žiadateľ s výmerou lesa nad 100 000 ha realizuje projekt na </w:t>
      </w:r>
      <w:r w:rsidRPr="00FE554C">
        <w:rPr>
          <w:b/>
          <w:bCs/>
        </w:rPr>
        <w:t xml:space="preserve">zmiešanom území </w:t>
      </w:r>
      <w:r w:rsidRPr="00FE554C">
        <w:t xml:space="preserve">(v oblasti </w:t>
      </w:r>
      <w:r w:rsidRPr="00FE554C">
        <w:rPr>
          <w:iCs/>
        </w:rPr>
        <w:t xml:space="preserve">cieľa Konvergencie </w:t>
      </w:r>
      <w:r w:rsidRPr="00FE554C">
        <w:t xml:space="preserve">aj v </w:t>
      </w:r>
      <w:r w:rsidRPr="00FE554C">
        <w:rPr>
          <w:iCs/>
        </w:rPr>
        <w:t xml:space="preserve">Ostatných oblastiach) </w:t>
      </w:r>
      <w:r w:rsidRPr="00FE554C">
        <w:t xml:space="preserve">podáva </w:t>
      </w:r>
      <w:r w:rsidRPr="00FE554C">
        <w:rPr>
          <w:b/>
          <w:bCs/>
        </w:rPr>
        <w:t xml:space="preserve">dva projekty </w:t>
      </w:r>
      <w:r w:rsidRPr="00FE554C">
        <w:t>– zvlášť na cieľ Konvergencie a zvlášť na Ostatné oblasti, suma každej žiadostí musí byť v rozpätí minimálnej a maximálnej výšky oprávnených výdavkov na jeden projekt.</w:t>
      </w:r>
    </w:p>
    <w:p w:rsidR="00EA4B91" w:rsidRPr="0097206A" w:rsidRDefault="006D5C98" w:rsidP="00EA4B91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</w:rPr>
      </w:pPr>
      <w:r w:rsidRPr="0097206A">
        <w:rPr>
          <w:b/>
          <w:bCs/>
          <w:color w:val="000000"/>
        </w:rPr>
        <w:t xml:space="preserve">Oprávnenosť </w:t>
      </w:r>
      <w:r w:rsidR="0097206A">
        <w:rPr>
          <w:b/>
          <w:bCs/>
          <w:color w:val="000000"/>
        </w:rPr>
        <w:t xml:space="preserve">a rozsah </w:t>
      </w:r>
      <w:r w:rsidRPr="0097206A">
        <w:rPr>
          <w:b/>
          <w:bCs/>
          <w:color w:val="000000"/>
        </w:rPr>
        <w:t>činností realizácie projektu</w:t>
      </w:r>
      <w:r w:rsidR="0097206A">
        <w:rPr>
          <w:b/>
          <w:bCs/>
          <w:color w:val="000000"/>
        </w:rPr>
        <w:t xml:space="preserve"> </w:t>
      </w:r>
      <w:r w:rsidR="00EA4B91" w:rsidRPr="0097206A">
        <w:rPr>
          <w:b/>
          <w:bCs/>
        </w:rPr>
        <w:t xml:space="preserve"> </w:t>
      </w:r>
    </w:p>
    <w:p w:rsidR="00545B8E" w:rsidRPr="00A05119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 CE" w:hAnsi="TimesNewRoman,BoldItalic CE" w:cs="TimesNewRoman,BoldItalic CE"/>
          <w:bCs/>
          <w:iCs/>
        </w:rPr>
      </w:pPr>
      <w:r w:rsidRPr="00FE554C">
        <w:rPr>
          <w:rFonts w:ascii="TimesNewRoman,BoldItalic CE" w:hAnsi="TimesNewRoman,BoldItalic CE" w:cs="TimesNewRoman,BoldItalic CE"/>
          <w:bCs/>
          <w:iCs/>
        </w:rPr>
        <w:t>Oprávnené sú všetky činnosti, ktoré sú v súlade s cieľmi opatrenia a príslušnými právnymi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Cs/>
          <w:iCs/>
        </w:rPr>
      </w:pPr>
      <w:r w:rsidRPr="00FE554C">
        <w:rPr>
          <w:rFonts w:ascii="TimesNewRoman,BoldItalic" w:hAnsi="TimesNewRoman,BoldItalic" w:cs="TimesNewRoman,BoldItalic"/>
          <w:bCs/>
          <w:iCs/>
        </w:rPr>
        <w:t>predpismi EÚ.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realizácia projektov ozdravných opatrení v lesoch poškodených biotickými a abiotickými a antropogénnymi škodlivými prírodnými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obnova lesných porastov, ochrana, ošetrovanie a výchova lesov v lesoch poškodených biotickými a abiotickými a antropogénnymi škodlivými činiteľmi;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výstavba, dostavba, prestavba a rekonštrukcia lesných ciest v rámci protipožiarnych a ozdravných opatrení; výstavba, rekonštrukcia, opravy a údržba protipožiarnych nádrží;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protipožiarnych pásov a priesekov; ich čistenie a údržba;</w:t>
      </w:r>
    </w:p>
    <w:p w:rsidR="00D43DAE" w:rsidRPr="00FE554C" w:rsidRDefault="00D43DAE" w:rsidP="0049436B">
      <w:pPr>
        <w:numPr>
          <w:ilvl w:val="0"/>
          <w:numId w:val="47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budovanie a prevádzka protipožiarnych monitorovacích a výstražných systémov.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</w:rPr>
      </w:pPr>
    </w:p>
    <w:p w:rsidR="00D43DAE" w:rsidRPr="003052C9" w:rsidRDefault="00D43DAE" w:rsidP="003052C9">
      <w:pPr>
        <w:numPr>
          <w:ilvl w:val="0"/>
          <w:numId w:val="1"/>
        </w:numPr>
        <w:autoSpaceDE w:val="0"/>
        <w:autoSpaceDN w:val="0"/>
        <w:adjustRightInd w:val="0"/>
        <w:spacing w:before="120"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Nadväznosti navrhovaných opatrení</w:t>
      </w:r>
    </w:p>
    <w:p w:rsidR="003052C9" w:rsidRPr="003052C9" w:rsidRDefault="003052C9" w:rsidP="003052C9">
      <w:pPr>
        <w:autoSpaceDE w:val="0"/>
        <w:autoSpaceDN w:val="0"/>
        <w:adjustRightInd w:val="0"/>
        <w:spacing w:before="120" w:line="280" w:lineRule="exact"/>
        <w:ind w:left="284"/>
        <w:jc w:val="both"/>
        <w:rPr>
          <w:b/>
          <w:bCs/>
          <w:color w:val="000000"/>
        </w:rPr>
      </w:pPr>
    </w:p>
    <w:p w:rsidR="00D43DAE" w:rsidRPr="00FE554C" w:rsidRDefault="00D43DAE" w:rsidP="00D43DAE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Navrhované opatrenia sú v súlade s kľúčovým opatrením 9 Akčného plánu EÚ v oblasti lesného hospodárstva KOM (2006) 302 z 15. júna 2006.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 xml:space="preserve">Navrhované opatrenia vychádzajú s ustanovení § 28 zákona 326/2005 Z. z. o lesoch a zákona č. 314/2001 Z. z. o ochrane pred požiarmi v znení neskorších predpisov a vyhlášky Ministerstva vnútra SR č. 121/2002 Z. z. o požiarnej prevencii v znení neskorších predpisov a budú realizované v lesných oblastiach a podoblastiach s vysokým, resp. stredným stupňom ohrozenia požiarmi, ktoré sú taxatívne stanovené vo vyhláške MP SR č. 453/2006 Z. z. o hospodárskej úprave lesa a ochrane lesa. </w:t>
      </w:r>
    </w:p>
    <w:p w:rsidR="00D43DAE" w:rsidRPr="00FE554C" w:rsidRDefault="00D43DAE" w:rsidP="00D43DAE">
      <w:pPr>
        <w:autoSpaceDE w:val="0"/>
        <w:autoSpaceDN w:val="0"/>
        <w:adjustRightInd w:val="0"/>
        <w:jc w:val="both"/>
      </w:pPr>
      <w:r w:rsidRPr="00FE554C">
        <w:rPr>
          <w:rFonts w:ascii="TimesNewRoman" w:hAnsi="TimesNewRoman" w:cs="TimesNewRoman"/>
        </w:rPr>
        <w:t>V prípade, ak sa projekt dotýka záujmov ochrany prírody v zmysle zákona č. 543/2002 Z.z. o ochrane prírody a krajiny, súčasťou žiadosti (projektu) je aj súhlasné stanovisko príslušného orgánu ochrany prírody.</w:t>
      </w:r>
    </w:p>
    <w:p w:rsidR="001929B7" w:rsidRPr="00E71D88" w:rsidRDefault="001929B7" w:rsidP="001929B7">
      <w:pPr>
        <w:pStyle w:val="Odsekzoznamu"/>
        <w:autoSpaceDE w:val="0"/>
        <w:autoSpaceDN w:val="0"/>
        <w:adjustRightInd w:val="0"/>
        <w:spacing w:after="0"/>
        <w:ind w:left="644"/>
        <w:jc w:val="both"/>
        <w:rPr>
          <w:szCs w:val="24"/>
        </w:rPr>
      </w:pPr>
    </w:p>
    <w:p w:rsidR="00C45FA0" w:rsidRDefault="00C45FA0" w:rsidP="00613535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Oprávnenosť výdavkov realizácie projektu:</w:t>
      </w:r>
    </w:p>
    <w:p w:rsidR="00613535" w:rsidRPr="00A05119" w:rsidRDefault="00613535" w:rsidP="00613535">
      <w:pPr>
        <w:autoSpaceDE w:val="0"/>
        <w:autoSpaceDN w:val="0"/>
        <w:adjustRightInd w:val="0"/>
        <w:ind w:left="284"/>
        <w:jc w:val="both"/>
        <w:rPr>
          <w:b/>
          <w:bCs/>
          <w:color w:val="000000"/>
        </w:rPr>
      </w:pPr>
    </w:p>
    <w:p w:rsidR="00545B8E" w:rsidRDefault="00545B8E" w:rsidP="003052C9">
      <w:pPr>
        <w:jc w:val="both"/>
        <w:rPr>
          <w:bCs/>
          <w:color w:val="000000"/>
        </w:rPr>
      </w:pPr>
      <w:r w:rsidRPr="00FE554C">
        <w:rPr>
          <w:bCs/>
        </w:rPr>
        <w:t xml:space="preserve">Oprávnený výdavok musí byť zo strany žiadateľa vynaložený v oprávnenom období. </w:t>
      </w:r>
      <w:r w:rsidR="00256DBB" w:rsidRPr="00FE554C">
        <w:rPr>
          <w:rFonts w:ascii="TimesNewRoman,Bold" w:hAnsi="TimesNewRoman,Bold" w:cs="TimesNewRoman,Bold"/>
          <w:bCs/>
        </w:rPr>
        <w:t xml:space="preserve">Za oprávnené obdobie je považované obdobie </w:t>
      </w:r>
      <w:r w:rsidR="00256DBB" w:rsidRPr="00FE554C">
        <w:rPr>
          <w:b/>
        </w:rPr>
        <w:t>odo dňa vyhlásenia výzvy na predkladanie</w:t>
      </w:r>
      <w:r w:rsidR="00256DBB" w:rsidRPr="00FE554C">
        <w:t xml:space="preserve"> </w:t>
      </w:r>
      <w:r w:rsidR="00256DBB" w:rsidRPr="00FE554C">
        <w:rPr>
          <w:b/>
        </w:rPr>
        <w:t>žiadostí o nenávratný finančný príspevok (ďalej len „ŽoNFP“)</w:t>
      </w:r>
      <w:r w:rsidR="00256DBB" w:rsidRPr="00FE554C">
        <w:t xml:space="preserve"> </w:t>
      </w:r>
      <w:r w:rsidR="00256DBB" w:rsidRPr="00FE554C">
        <w:rPr>
          <w:b/>
        </w:rPr>
        <w:t>pre toto opatrenie</w:t>
      </w:r>
      <w:r w:rsidRPr="00FE554C">
        <w:t>.</w:t>
      </w:r>
      <w:r w:rsidR="009424D6" w:rsidRPr="00FE554C">
        <w:t xml:space="preserve"> </w:t>
      </w:r>
      <w:r w:rsidR="00B44EE4" w:rsidRPr="00FE554C">
        <w:rPr>
          <w:bCs/>
        </w:rPr>
        <w:t>Oprávnené výdavky musia spĺňať všeobecné podmienky oprávnenosti výdavkov, ktoré sú uvedené v kapitole 2 </w:t>
      </w:r>
      <w:r w:rsidR="005024AF" w:rsidRPr="00FE554C">
        <w:rPr>
          <w:bCs/>
        </w:rPr>
        <w:t xml:space="preserve"> </w:t>
      </w:r>
      <w:r w:rsidR="005024AF" w:rsidRPr="00FE554C">
        <w:t>Príručky pre žiadateľa o poskytnutie nenávratného finančného príspevku z Programu rozv</w:t>
      </w:r>
      <w:r w:rsidR="007157F2" w:rsidRPr="00FE554C">
        <w:t>oja vidieka SR 2007 – 2013 pre 3</w:t>
      </w:r>
      <w:r w:rsidR="005024AF" w:rsidRPr="00FE554C">
        <w:t>. výzvu na predkladanie žiadostí o nenávratný finančný príspevok</w:t>
      </w:r>
      <w:r w:rsidR="005024AF" w:rsidRPr="00FE554C">
        <w:rPr>
          <w:color w:val="FF0000"/>
        </w:rPr>
        <w:t xml:space="preserve">  </w:t>
      </w:r>
      <w:r w:rsidR="005024AF" w:rsidRPr="00FE554C">
        <w:t>na opa</w:t>
      </w:r>
      <w:r w:rsidR="007157F2" w:rsidRPr="00FE554C">
        <w:t xml:space="preserve">trenie </w:t>
      </w:r>
      <w:r w:rsidR="003052C9" w:rsidRPr="00FE554C">
        <w:t>2.1 Obnova potenciálu lesného hospodárstva a zavedenie preventívnych opatrení</w:t>
      </w:r>
      <w:r w:rsidR="005024AF" w:rsidRPr="00FE554C">
        <w:t xml:space="preserve"> (ďalej len „Príručka“)</w:t>
      </w:r>
      <w:r w:rsidR="00B44EE4" w:rsidRPr="00FE554C">
        <w:rPr>
          <w:bCs/>
        </w:rPr>
        <w:t xml:space="preserve">. </w:t>
      </w:r>
    </w:p>
    <w:p w:rsidR="003052C9" w:rsidRDefault="003052C9" w:rsidP="003052C9">
      <w:pPr>
        <w:spacing w:after="120"/>
        <w:jc w:val="both"/>
        <w:rPr>
          <w:b/>
          <w:sz w:val="22"/>
        </w:rPr>
      </w:pPr>
    </w:p>
    <w:p w:rsid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Všeobecné podmienky oprávnenosti výdavkov:</w:t>
      </w:r>
    </w:p>
    <w:p w:rsidR="003052C9" w:rsidRPr="003052C9" w:rsidRDefault="003052C9" w:rsidP="003052C9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sú v súlade s legislatívou EÚ a SR;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schválené a potvrdené zmluvou o poskytnutí NFP, musia byť primerané a musia byť vynaložené v súlade s princípmi hospodárnosti, efektívnosti a účelnosti;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identifikovateľné a preukázateľné a musia byť doložené účtovnými záznamami, ktoré sú riadne evidované u prijímateľa v súlade s platnými právnymi predpismi.</w:t>
      </w:r>
    </w:p>
    <w:p w:rsidR="003052C9" w:rsidRPr="00FE554C" w:rsidRDefault="003052C9" w:rsidP="007D01EC">
      <w:pPr>
        <w:numPr>
          <w:ilvl w:val="0"/>
          <w:numId w:val="37"/>
        </w:numPr>
        <w:spacing w:before="60" w:after="60"/>
        <w:ind w:left="357" w:hanging="357"/>
        <w:jc w:val="both"/>
      </w:pPr>
      <w:r w:rsidRPr="00FE554C">
        <w:t>výdavky musia byť uhradené zo strany prijímateľa pred ich deklarovaním PPA v rámci ŽoP (priebežná ŽoP, záverečná ŽoP).</w:t>
      </w:r>
    </w:p>
    <w:p w:rsidR="003052C9" w:rsidRPr="00464EB6" w:rsidRDefault="003052C9" w:rsidP="003052C9">
      <w:pPr>
        <w:spacing w:after="120"/>
        <w:jc w:val="both"/>
        <w:rPr>
          <w:b/>
          <w:bCs/>
          <w:sz w:val="22"/>
        </w:rPr>
      </w:pPr>
    </w:p>
    <w:p w:rsidR="003052C9" w:rsidRPr="003052C9" w:rsidRDefault="003052C9" w:rsidP="003052C9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052C9">
        <w:rPr>
          <w:b/>
          <w:bCs/>
          <w:color w:val="000000"/>
        </w:rPr>
        <w:t>Kritéria pre uznateľnosť výdavkov</w:t>
      </w:r>
    </w:p>
    <w:p w:rsidR="003052C9" w:rsidRPr="00464EB6" w:rsidRDefault="003052C9" w:rsidP="003052C9">
      <w:pPr>
        <w:autoSpaceDE w:val="0"/>
        <w:autoSpaceDN w:val="0"/>
        <w:adjustRightInd w:val="0"/>
        <w:jc w:val="both"/>
        <w:rPr>
          <w:rFonts w:ascii="TimesNewRoman,BoldItalic" w:hAnsi="TimesNewRoman,BoldItalic" w:cs="TimesNewRoman,BoldItalic"/>
          <w:b/>
          <w:bCs/>
          <w:i/>
          <w:iCs/>
          <w:sz w:val="22"/>
        </w:rPr>
      </w:pPr>
    </w:p>
    <w:p w:rsidR="003052C9" w:rsidRPr="00FE554C" w:rsidRDefault="003052C9" w:rsidP="003052C9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,Bold" w:hAnsi="TimesNewRoman,Bold" w:cs="TimesNewRoman,Bold"/>
          <w:b/>
          <w:bCs/>
        </w:rPr>
        <w:t xml:space="preserve">Oprávnené výdavky </w:t>
      </w:r>
      <w:r w:rsidRPr="00FE554C">
        <w:rPr>
          <w:rFonts w:ascii="TimesNewRoman" w:hAnsi="TimesNewRoman" w:cs="TimesNewRoman"/>
        </w:rPr>
        <w:t>(s výnimkou obmedzení citovaných v rámci neoprávnených výdavkov)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výdavky na vlastný sadbový materiál lesných drevín maximálne do výšky ceny obvyklej v mieste realizácie projektu;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 w:rsidRPr="00FE554C">
        <w:rPr>
          <w:rFonts w:ascii="TimesNewRoman" w:hAnsi="TimesNewRoman" w:cs="TimesNewRoman"/>
        </w:rPr>
        <w:t>investície do dlhodobého hmotného a nehmotného majetku (v zmysle zákona č. 431/2002 Z. z. v znení neskorších predpisov) – výdavky na výstavbu, dokončenie, rekonštrukciu a prestavbu lesných ciest, výstavbu a rekonštrukciu protipožiarnych nádrží, vybudovanie zariadení a technológií protipožiarnych a monitorovacích systémov;</w:t>
      </w:r>
    </w:p>
    <w:p w:rsidR="003052C9" w:rsidRPr="00FE554C" w:rsidRDefault="003052C9" w:rsidP="003052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b/>
          <w:i/>
        </w:rPr>
      </w:pPr>
      <w:r w:rsidRPr="00FE554C">
        <w:rPr>
          <w:rFonts w:ascii="TimesNewRoman" w:hAnsi="TimesNewRoman" w:cs="TimesNewRoman"/>
        </w:rPr>
        <w:t>prevádzkové výdavky  a služby (materiálové náklady; služby a ostatné priame náklady súvisiace s realizáciou projektov obnovy lesa a projektov ozdravných opatrení. )</w:t>
      </w:r>
    </w:p>
    <w:p w:rsidR="00FB429B" w:rsidRPr="00A05119" w:rsidRDefault="00FB429B" w:rsidP="00FB429B">
      <w:pPr>
        <w:pStyle w:val="Zkladntext3"/>
        <w:keepLines/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</w:p>
    <w:p w:rsidR="00C8538C" w:rsidRPr="003052C9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3052C9">
        <w:rPr>
          <w:b/>
          <w:bCs/>
          <w:color w:val="000000"/>
        </w:rPr>
        <w:t xml:space="preserve">Oprávnenosť miesta realizácie projektu: </w:t>
      </w:r>
    </w:p>
    <w:p w:rsidR="00613535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C8538C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</w:pPr>
      <w:r w:rsidRPr="00A05119">
        <w:rPr>
          <w:bCs/>
        </w:rPr>
        <w:t xml:space="preserve">Za oprávnené miesto realizácie projektu je považované </w:t>
      </w:r>
      <w:r w:rsidRPr="00A05119">
        <w:t>celé územie Slovenskej republiky</w:t>
      </w:r>
      <w:r w:rsidR="00C8538C" w:rsidRPr="00A05119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A05119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49436B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49436B">
        <w:rPr>
          <w:b/>
          <w:bCs/>
          <w:color w:val="000000"/>
        </w:rPr>
        <w:t xml:space="preserve">Časová oprávnenosť realizácie projektu: </w:t>
      </w:r>
    </w:p>
    <w:p w:rsidR="00613535" w:rsidRPr="0049436B" w:rsidRDefault="00613535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</w:p>
    <w:p w:rsidR="00DD3FD8" w:rsidRPr="00A05119" w:rsidRDefault="00B44EE4" w:rsidP="00613535">
      <w:pPr>
        <w:autoSpaceDE w:val="0"/>
        <w:autoSpaceDN w:val="0"/>
        <w:adjustRightInd w:val="0"/>
        <w:spacing w:line="280" w:lineRule="exact"/>
        <w:ind w:left="357"/>
        <w:jc w:val="both"/>
        <w:rPr>
          <w:bCs/>
        </w:rPr>
      </w:pPr>
      <w:r w:rsidRPr="0049436B">
        <w:rPr>
          <w:bCs/>
        </w:rPr>
        <w:t xml:space="preserve">Žiadateľ </w:t>
      </w:r>
      <w:r w:rsidR="00D01E8F" w:rsidRPr="0049436B">
        <w:rPr>
          <w:bCs/>
        </w:rPr>
        <w:t>môže predložiť žiadosť o platbu (ďalej len „ŽoP“) 1x ročne, pričom</w:t>
      </w:r>
      <w:r w:rsidRPr="0049436B">
        <w:rPr>
          <w:bCs/>
        </w:rPr>
        <w:t xml:space="preserve"> poslednú </w:t>
      </w:r>
      <w:r w:rsidR="00D01E8F" w:rsidRPr="0049436B">
        <w:rPr>
          <w:bCs/>
        </w:rPr>
        <w:t xml:space="preserve">ŽoP musí predložiť </w:t>
      </w:r>
      <w:r w:rsidRPr="0049436B">
        <w:rPr>
          <w:bCs/>
        </w:rPr>
        <w:t xml:space="preserve"> najneskôr do</w:t>
      </w:r>
      <w:r w:rsidR="00CB65FF" w:rsidRPr="0049436B">
        <w:rPr>
          <w:bCs/>
        </w:rPr>
        <w:t xml:space="preserve"> 3</w:t>
      </w:r>
      <w:r w:rsidR="00C90BDC" w:rsidRPr="0049436B">
        <w:rPr>
          <w:bCs/>
        </w:rPr>
        <w:t>0</w:t>
      </w:r>
      <w:r w:rsidR="00CB65FF" w:rsidRPr="0049436B">
        <w:rPr>
          <w:bCs/>
        </w:rPr>
        <w:t>.</w:t>
      </w:r>
      <w:r w:rsidR="00C90BDC" w:rsidRPr="0049436B">
        <w:rPr>
          <w:bCs/>
        </w:rPr>
        <w:t>0</w:t>
      </w:r>
      <w:r w:rsidR="00EC5F67" w:rsidRPr="0049436B">
        <w:rPr>
          <w:bCs/>
        </w:rPr>
        <w:t>6</w:t>
      </w:r>
      <w:r w:rsidR="00CB65FF" w:rsidRPr="0049436B">
        <w:rPr>
          <w:bCs/>
        </w:rPr>
        <w:t>.201</w:t>
      </w:r>
      <w:r w:rsidR="00C90BDC" w:rsidRPr="0049436B">
        <w:rPr>
          <w:bCs/>
        </w:rPr>
        <w:t>5</w:t>
      </w:r>
      <w:r w:rsidRPr="0049436B">
        <w:rPr>
          <w:bCs/>
        </w:rPr>
        <w:t>.</w:t>
      </w:r>
    </w:p>
    <w:p w:rsidR="00CB65FF" w:rsidRPr="00A05119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bCs/>
        </w:rPr>
      </w:pPr>
    </w:p>
    <w:p w:rsidR="00CB65FF" w:rsidRPr="00A05119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Kritériá pre posúdenie projektov:</w:t>
      </w:r>
    </w:p>
    <w:p w:rsidR="003052C9" w:rsidRDefault="003052C9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</w:p>
    <w:p w:rsidR="00D43DAE" w:rsidRPr="007D01EC" w:rsidRDefault="00D43DAE" w:rsidP="00D43DAE">
      <w:pPr>
        <w:autoSpaceDE w:val="0"/>
        <w:autoSpaceDN w:val="0"/>
        <w:adjustRightInd w:val="0"/>
        <w:jc w:val="both"/>
        <w:rPr>
          <w:rFonts w:ascii="TimesNewRoman,Bold" w:hAnsi="TimesNewRoman,Bold" w:cs="TimesNewRoman,Bold"/>
          <w:b/>
          <w:bCs/>
          <w:sz w:val="22"/>
        </w:rPr>
      </w:pPr>
      <w:r w:rsidRPr="007D01EC">
        <w:rPr>
          <w:rFonts w:ascii="TimesNewRoman,Bold" w:hAnsi="TimesNewRoman,Bold" w:cs="TimesNewRoman,Bold"/>
          <w:b/>
          <w:bCs/>
          <w:sz w:val="22"/>
        </w:rPr>
        <w:t>Kritériá spôsobilosti</w:t>
      </w:r>
    </w:p>
    <w:p w:rsidR="00D43DAE" w:rsidRPr="003052C9" w:rsidRDefault="00D43DAE" w:rsidP="00D43DAE">
      <w:pPr>
        <w:autoSpaceDE w:val="0"/>
        <w:autoSpaceDN w:val="0"/>
        <w:adjustRightInd w:val="0"/>
        <w:jc w:val="both"/>
      </w:pPr>
      <w:r w:rsidRPr="003052C9">
        <w:t>Oprávnenosť projektov na financovanie z PRV je podmienená splnením všetkých nasledovných kritérií spôsobilosti stanovených pre toto opatrenie: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jc w:val="both"/>
      </w:pPr>
      <w:r w:rsidRPr="003052C9">
        <w:t>Investície sa musia realizovať na území Slovenska.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nemá záväzky voči štátu po lehote splatnosti; voči žiadateľovi a 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  <w:r w:rsidRPr="003052C9">
        <w:rPr>
          <w:rFonts w:ascii="Times New Roman" w:hAnsi="Times New Roman"/>
          <w:sz w:val="24"/>
          <w:szCs w:val="24"/>
          <w:vertAlign w:val="superscript"/>
        </w:rPr>
        <w:t>3</w:t>
      </w:r>
    </w:p>
    <w:p w:rsidR="00D43DAE" w:rsidRPr="003052C9" w:rsidRDefault="00D43DAE" w:rsidP="00322A4A">
      <w:pPr>
        <w:numPr>
          <w:ilvl w:val="0"/>
          <w:numId w:val="38"/>
        </w:numPr>
        <w:spacing w:before="60" w:after="60"/>
        <w:jc w:val="both"/>
      </w:pPr>
      <w:r w:rsidRPr="003052C9">
        <w:t>Žiadateľ nemá evidované nedoplatky poistného na zdravotné poistenie, sociálne poistenie a príspevkov na starobné dôchodkové poistenie (splátkový kalendár potvrdený veriteľom sa akceptuje). Preukazuje sa pri ŽoNFP potvrdením Sociálnej poisťovne a každej zdravotnej poisťovne</w:t>
      </w:r>
      <w:r w:rsidR="005A3087">
        <w:t>,</w:t>
      </w:r>
      <w:r w:rsidR="007B4A3F">
        <w:t xml:space="preserve"> </w:t>
      </w:r>
      <w:r w:rsidRPr="003052C9">
        <w:t>nie starším ako tri mesiace).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</w:t>
      </w:r>
      <w:r w:rsidR="003052C9">
        <w:rPr>
          <w:rFonts w:ascii="Times New Roman" w:hAnsi="Times New Roman"/>
          <w:sz w:val="24"/>
          <w:szCs w:val="24"/>
        </w:rPr>
        <w:t>a</w:t>
      </w:r>
      <w:r w:rsidRPr="003052C9">
        <w:rPr>
          <w:rFonts w:ascii="Times New Roman" w:hAnsi="Times New Roman"/>
          <w:sz w:val="24"/>
          <w:szCs w:val="24"/>
        </w:rPr>
        <w:t>rovanej lesnej pôdy menšou alebo rovnou 100 000 ha môže predložiť maximálne 1 ŽoNFP v rámci jedného výberového kola zverejneného vo výzve na predkladanie ŽoNFP pre toto opatrenie. Uvedené neplatí, ak tento žiadateľ predloží zvlášť 1 ŽoNFP pre cieľ Konvergencia a zvlášť 1 ŽoNFP pre oblasti mimo cieľa Konvergencia. Súčet oprávnených výdavkov v takto podaných 2 ŽoNFP nesmie prekročiť maximálne oprávnené výdavky.</w:t>
      </w:r>
    </w:p>
    <w:p w:rsidR="00D43DAE" w:rsidRPr="003052C9" w:rsidRDefault="00D43DAE" w:rsidP="00322A4A">
      <w:pPr>
        <w:pStyle w:val="mojNORMALNY"/>
        <w:spacing w:before="60" w:after="60"/>
        <w:ind w:left="72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s výmerou obhospodarovanej lesnej pôdy väčšou ako 100 000 ha môže podať maximálne 6 ŽoNFP, z toho ľubovoľný počet za cieľ Konvergencia a za oblasti mimo cieľa Konvergencia. Každá takto podaná ŽoNFP môže byť do výšky maximálnych oprávnených výdavkov.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nie je v likvidácii; nie je voči nemu vedené konkurzné konanie; nie je v konkurze, v reštrukturalizácii a nebol voči nemu zamietnutý návrh na vyhlásenie konkurzu pre nedostatok majetku - preukazuje sa pri ŽoNFP potvrdením príslušného konkurzného súdu, nie starším ako tri mesiace; neporušil v predchádzajúcich 3 rokoch zákaz nelegálneho zamestnávania. Preukazuje sa pri ŽoNFP potvrdením príslušného inšpektorátu práce, nie starším ako tri mesiace.</w:t>
      </w:r>
    </w:p>
    <w:p w:rsidR="00D43DAE" w:rsidRPr="003052C9" w:rsidRDefault="00D43DAE" w:rsidP="00322A4A">
      <w:pPr>
        <w:pStyle w:val="mojNORMALNY"/>
        <w:numPr>
          <w:ilvl w:val="0"/>
          <w:numId w:val="38"/>
        </w:numPr>
        <w:spacing w:before="60" w:after="60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Investícia sa musí využívať najmenej päť rokov po podpise zmluvy o poskytnutí nenávratného finančného príspevku, pričom nesmie prejsť podstatnou zmenou, ktorá: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ovplyvní jej povahu alebo podmienky využívania alebo neoprávnene zvýhodní akýkoľvek podnik alebo verejný subjekt,</w:t>
      </w:r>
    </w:p>
    <w:p w:rsidR="00D43DAE" w:rsidRPr="003052C9" w:rsidRDefault="00D43DAE" w:rsidP="00322A4A">
      <w:pPr>
        <w:numPr>
          <w:ilvl w:val="1"/>
          <w:numId w:val="38"/>
        </w:numPr>
        <w:autoSpaceDE w:val="0"/>
        <w:autoSpaceDN w:val="0"/>
        <w:spacing w:before="60" w:after="60"/>
        <w:ind w:left="1434" w:hanging="357"/>
        <w:jc w:val="both"/>
      </w:pPr>
      <w:r w:rsidRPr="003052C9">
        <w:t>vyplýva buď zo zmeny povahy vlastníctva položky infraštruktúry alebo ukončenia alebo premiestnenia výrobnej činnosti, pričom premiestnenie hnuteľnej veci (stroj, manipulačná technika, mobilné technologické zariadenie a pod.) na inú prevádzku žiadateľa v rámci oblastí toho istého cieľa sa za podstatnú zmenu nepovažuje.</w:t>
      </w:r>
    </w:p>
    <w:p w:rsidR="00D01E8F" w:rsidRPr="0049436B" w:rsidRDefault="00D43DAE" w:rsidP="00D01E8F">
      <w:pPr>
        <w:numPr>
          <w:ilvl w:val="0"/>
          <w:numId w:val="38"/>
        </w:numPr>
        <w:autoSpaceDE w:val="0"/>
        <w:autoSpaceDN w:val="0"/>
        <w:adjustRightInd w:val="0"/>
        <w:spacing w:before="60" w:after="60" w:line="280" w:lineRule="exact"/>
        <w:jc w:val="both"/>
        <w:rPr>
          <w:bCs/>
        </w:rPr>
      </w:pPr>
      <w:r w:rsidRPr="0049436B">
        <w:t xml:space="preserve">Žiadateľ môže predložiť </w:t>
      </w:r>
      <w:r w:rsidR="00D01E8F" w:rsidRPr="0049436B">
        <w:rPr>
          <w:bCs/>
        </w:rPr>
        <w:t>žiadosť o platbu (ďalej len „ŽoP“) 1x ročne, pričom poslednú ŽoP musí predložiť  najneskôr do 30.06.2015.</w:t>
      </w:r>
    </w:p>
    <w:p w:rsidR="00D43DAE" w:rsidRPr="003052C9" w:rsidRDefault="00D43DAE" w:rsidP="00D01E8F">
      <w:pPr>
        <w:pStyle w:val="mojNORMALNY"/>
        <w:numPr>
          <w:ilvl w:val="0"/>
          <w:numId w:val="38"/>
        </w:numPr>
        <w:spacing w:before="60" w:after="60"/>
        <w:ind w:left="714" w:hanging="357"/>
        <w:rPr>
          <w:rFonts w:ascii="Times New Roman" w:hAnsi="Times New Roman"/>
          <w:sz w:val="24"/>
          <w:szCs w:val="24"/>
        </w:rPr>
      </w:pPr>
      <w:r w:rsidRPr="003052C9">
        <w:rPr>
          <w:rFonts w:ascii="Times New Roman" w:hAnsi="Times New Roman"/>
          <w:sz w:val="24"/>
          <w:szCs w:val="24"/>
        </w:rPr>
        <w:t>Žiadateľ musí deklarovať, že obhospodaruje les, resp. v prípade stavebných investícií preukázať vlastníctvo, resp. iný právny vzťah k predmetu projektu oprávňujúci užívať predmet projektu, pretrvávajúci najmenej šesť rokov po predložení ŽoNFP s výnimkou špecifických prípadov (nepreukazuje sa, ak bolo vydané právoplatné stavebné povolenie). Preukazuje sa pri predložení ŽoNFP. V prípade nákupu pozemkov pod stavbami, ktorých technické zhodnotenie je predmetom projektu a nákupu pozemkov (časti určenej na výstavbu, ktorá je predmetom projektu), žiadateľ preukáže vlastnícky vzťah pri prvej ŽoP, ktorá súvisí s nadobudnutím príslušného pozemku. V prípade výstavby objektov sa uvedené kritérium preukazuje pri podaní prvej ŽoP po skolaudovaní stavby.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Žiadateľ musí deklarovať, že pre každý vybraný projekt sa použije iba jeden zdroj financovania z EÚ alebo z národných zdrojov. Preukazuje sa pri ŽoNFP formou čestného vyhlásenia.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Všetky projekty podporovateľných lesníckych činností vyhotovuje odborne spôsobilá fyzická osoba (spôsobilá na výkon činností odborného lesného hospodára) alebo odborne spôsobilá právnická osoba (s predmetom činnosti v oblasti lesníctva).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Projekty ozdravných opatrení a projekty obnovy lesa odsúhlasuje svojím stanoviskom Národné lesnícke centrum Zvolen alebo Obvodný lesný úrad (ďalej len „OLÚ“), ( stačí jedno stanovisko) . Národné lesnícke centrum Zvolen alebo OLÚ ( resp. jeho právny nástupca) vo svojom stanovisku posúdi odbornú stránku projektov ozdravných opatrení a projektov obnovy lesa. Zároveň sa vyjadrí, či uvedené aktivity súvisia resp. nadväzujú na prírodnú katastrofu.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 xml:space="preserve">V prípade, že projekt obsahuje protipožiarne opatrenia ( cesty, nádrže a pod.) žiadateľ predkladá potvrdenie Národného lesnícke centra Zvolen, či je investícia výhradne v oblasti s vysokým resp. stredným stupňom ohrozenia ( resp. v obidvoch oblastiach ). Preukazuje sa pri ŽoNFP. 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prípade, ak sa projekt dotýka záujmov ochrany prírody v zmysle zákona č. 543/2002 Z. z. o ochrane prírody a krajiny v znení neskorších predpisov, súčasťou žiadosti je aj súhlasné stanovisko príslušného orgánu štátnej správy ochrany prírody.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Podpora sa poskytne len tým pozemkovým spoločenstvám podľa zákona č. 97/2013 Z. z., ktoré majú právnu subjektivitu (§4) a združeniam (obchodným spoločnostiam) vlastníkov neštátnych lesov vytvoreným podľa Obchodného zákonníka alebo združeniam vlastníkov lesov podľa Občianskeho zákonníka (§ 20 f a nasl.). Preukazuje sa pri ŽoNFP.</w:t>
      </w:r>
    </w:p>
    <w:p w:rsidR="00D43DAE" w:rsidRPr="003052C9" w:rsidRDefault="00D43DAE" w:rsidP="00322A4A">
      <w:pPr>
        <w:numPr>
          <w:ilvl w:val="0"/>
          <w:numId w:val="38"/>
        </w:numPr>
        <w:autoSpaceDE w:val="0"/>
        <w:autoSpaceDN w:val="0"/>
        <w:adjustRightInd w:val="0"/>
        <w:spacing w:before="60" w:after="60"/>
        <w:ind w:left="714" w:hanging="357"/>
        <w:jc w:val="both"/>
      </w:pPr>
      <w:r w:rsidRPr="003052C9">
        <w:t>V prípade ak prenajímateľom lesného majetku, resp. subjektom, ktorý zveril do správy lesný majetok je Slovenská republika, Slovenský pozemkový fond, obec, cirkev a tieto lesné pozemky sú žiadateľovi prenajaté, resp. zverené do správy na dobu neurčitú, takéto zmluvy, resp. zverenie do správy bude Pôdohospodárska platobná agentúra akceptovať.</w:t>
      </w:r>
    </w:p>
    <w:p w:rsidR="00B655F1" w:rsidRPr="003052C9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Default="00CB65FF" w:rsidP="00100FE4">
      <w:pPr>
        <w:pStyle w:val="Zkladntext3"/>
        <w:keepLines/>
        <w:numPr>
          <w:ilvl w:val="0"/>
          <w:numId w:val="2"/>
        </w:numPr>
        <w:spacing w:after="0" w:line="280" w:lineRule="exact"/>
        <w:ind w:left="426" w:hanging="42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1929B7" w:rsidRPr="00201B6E" w:rsidRDefault="001929B7" w:rsidP="001929B7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322A4A">
        <w:tc>
          <w:tcPr>
            <w:tcW w:w="709" w:type="dxa"/>
            <w:shd w:val="clear" w:color="auto" w:fill="92D050"/>
            <w:vAlign w:val="center"/>
          </w:tcPr>
          <w:p w:rsidR="00E77CFC" w:rsidRPr="00201B6E" w:rsidRDefault="00D72543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P. </w:t>
            </w:r>
            <w:r w:rsidR="00E77CFC" w:rsidRPr="00201B6E">
              <w:rPr>
                <w:b/>
                <w:sz w:val="22"/>
                <w:szCs w:val="22"/>
              </w:rPr>
              <w:t>č.</w:t>
            </w:r>
          </w:p>
        </w:tc>
        <w:tc>
          <w:tcPr>
            <w:tcW w:w="4536" w:type="dxa"/>
            <w:shd w:val="clear" w:color="auto" w:fill="92D050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  <w:shd w:val="clear" w:color="auto" w:fill="92D050"/>
            <w:vAlign w:val="center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9742CB" w:rsidRPr="00980184" w:rsidTr="00D72543">
        <w:tc>
          <w:tcPr>
            <w:tcW w:w="709" w:type="dxa"/>
            <w:vMerge w:val="restart"/>
            <w:vAlign w:val="center"/>
          </w:tcPr>
          <w:p w:rsidR="009742CB" w:rsidRPr="00201B6E" w:rsidRDefault="009742CB" w:rsidP="00D43DAE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D43DAE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742CB" w:rsidRPr="006932F9" w:rsidRDefault="00D43DAE" w:rsidP="0078738E">
            <w:pPr>
              <w:spacing w:before="120" w:after="120"/>
              <w:jc w:val="both"/>
            </w:pPr>
            <w:r w:rsidRPr="006932F9"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9742CB" w:rsidRPr="006932F9" w:rsidRDefault="009742C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742CB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Pozri prílohu č. 2 tejto príručky „Priemerná miera evidovanej nezamestnanosti 2012“.</w:t>
            </w:r>
            <w:r>
              <w:t xml:space="preserve"> </w:t>
            </w:r>
            <w:r w:rsidRPr="00322A4A"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do 15 % vrátane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D43DAE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 xml:space="preserve">do 30 % vrátane 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D43DAE" w:rsidRPr="00980184" w:rsidTr="00D72543">
        <w:trPr>
          <w:trHeight w:val="267"/>
        </w:trPr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6932F9" w:rsidRDefault="00D43DAE" w:rsidP="006932F9">
            <w:pPr>
              <w:numPr>
                <w:ilvl w:val="0"/>
                <w:numId w:val="13"/>
              </w:numPr>
              <w:ind w:firstLine="951"/>
              <w:jc w:val="both"/>
            </w:pPr>
            <w:r w:rsidRPr="006932F9">
              <w:t>nad 30 %</w:t>
            </w:r>
          </w:p>
        </w:tc>
        <w:tc>
          <w:tcPr>
            <w:tcW w:w="708" w:type="dxa"/>
          </w:tcPr>
          <w:p w:rsidR="00D43DAE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F20B7" w:rsidRPr="00980184" w:rsidTr="00D72543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F20B7" w:rsidRPr="006932F9" w:rsidRDefault="00D43DAE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t>Podiel oprávnených výdavkov na obnovu lesa na celkových oprávnených výdavkoch v projekte  je</w:t>
            </w:r>
          </w:p>
        </w:tc>
        <w:tc>
          <w:tcPr>
            <w:tcW w:w="708" w:type="dxa"/>
          </w:tcPr>
          <w:p w:rsidR="009F20B7" w:rsidRPr="0078738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9F20B7" w:rsidRPr="006932F9" w:rsidRDefault="009F20B7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 xml:space="preserve">vyšší 50% 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45-50%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40- 45%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35-40%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30-35%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25-30%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20-25%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10 -20%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1 do 10%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D43DAE" w:rsidRPr="00980184" w:rsidTr="00D72543">
        <w:tc>
          <w:tcPr>
            <w:tcW w:w="709" w:type="dxa"/>
            <w:vMerge/>
            <w:vAlign w:val="center"/>
          </w:tcPr>
          <w:p w:rsidR="00D43DAE" w:rsidRPr="00201B6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D43DAE" w:rsidRPr="0078738E" w:rsidRDefault="00D43DAE" w:rsidP="00322A4A">
            <w:pPr>
              <w:pStyle w:val="Odsekzoznamu"/>
              <w:numPr>
                <w:ilvl w:val="0"/>
                <w:numId w:val="39"/>
              </w:numPr>
              <w:spacing w:after="0"/>
              <w:ind w:left="317" w:hanging="284"/>
              <w:rPr>
                <w:bCs/>
                <w:color w:val="000000"/>
                <w:szCs w:val="24"/>
              </w:rPr>
            </w:pPr>
            <w:r w:rsidRPr="0078738E">
              <w:rPr>
                <w:szCs w:val="24"/>
              </w:rPr>
              <w:t>od 0,01% do 1% vrátane</w:t>
            </w:r>
          </w:p>
        </w:tc>
        <w:tc>
          <w:tcPr>
            <w:tcW w:w="708" w:type="dxa"/>
          </w:tcPr>
          <w:p w:rsidR="00D43DAE" w:rsidRPr="0078738E" w:rsidRDefault="00D43DA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2943" w:type="dxa"/>
            <w:vMerge/>
            <w:shd w:val="clear" w:color="auto" w:fill="92D050"/>
          </w:tcPr>
          <w:p w:rsidR="00D43DAE" w:rsidRPr="006932F9" w:rsidRDefault="00D43DAE" w:rsidP="00980184">
            <w:pPr>
              <w:spacing w:before="120"/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spacing w:before="120" w:after="120"/>
              <w:rPr>
                <w:b/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>Projekt: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49436B" w:rsidRDefault="006932F9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Maximálny počet bodov je 21. Pri výbere bodovaného druhu oprávnených výdavkov  sa za bodované výdavky  považujú žiadané oprávnené výdavky  na prevažujúci druh investície (okrem výdavkov  na obnovu lesa</w:t>
            </w:r>
            <w:r w:rsidR="00CC6CD6">
              <w:rPr>
                <w:sz w:val="24"/>
                <w:szCs w:val="24"/>
              </w:rPr>
              <w:t xml:space="preserve">, </w:t>
            </w:r>
            <w:r w:rsidR="00CC6CD6" w:rsidRPr="0049436B">
              <w:rPr>
                <w:sz w:val="24"/>
                <w:szCs w:val="24"/>
              </w:rPr>
              <w:t xml:space="preserve">bodovacie kritérium v písm. a) sa uplatnia pri výdavkoch na obnovu lesa nad 75 % oprávnených výdavkov </w:t>
            </w:r>
            <w:r w:rsidRPr="0049436B">
              <w:rPr>
                <w:sz w:val="24"/>
                <w:szCs w:val="24"/>
              </w:rPr>
              <w:t>), t. j. investície, ktorej žiadané oprávnené výdavky sú najvyššie.  Body sa nesčítavajú ani sa nerobí priemer v rámci jednotlivých druhov bodovaných výdavkov. Body sa prideľujú nezávisle od bodovacieho kritéria č. 2.</w:t>
            </w:r>
          </w:p>
          <w:p w:rsidR="00CC6CD6" w:rsidRPr="006932F9" w:rsidRDefault="00CC6CD6" w:rsidP="00ED7A81">
            <w:pPr>
              <w:pStyle w:val="Textpoznmkypodiarou"/>
              <w:spacing w:before="120"/>
              <w:rPr>
                <w:sz w:val="24"/>
                <w:szCs w:val="24"/>
              </w:rPr>
            </w:pPr>
            <w:r w:rsidRPr="0049436B">
              <w:rPr>
                <w:sz w:val="24"/>
                <w:szCs w:val="24"/>
              </w:rPr>
              <w:t xml:space="preserve">V písm. c), d), f) a h) </w:t>
            </w:r>
            <w:r w:rsidR="00812A1F" w:rsidRPr="0049436B">
              <w:rPr>
                <w:sz w:val="24"/>
                <w:szCs w:val="24"/>
              </w:rPr>
              <w:t xml:space="preserve">sa pre uplatnenie tohto kritéria za </w:t>
            </w:r>
            <w:r w:rsidRPr="0049436B">
              <w:rPr>
                <w:sz w:val="24"/>
                <w:szCs w:val="24"/>
              </w:rPr>
              <w:t>výdavky na výstavbu</w:t>
            </w:r>
            <w:r w:rsidR="00812A1F" w:rsidRPr="0049436B">
              <w:rPr>
                <w:sz w:val="24"/>
                <w:szCs w:val="24"/>
              </w:rPr>
              <w:t xml:space="preserve"> považujú aj výdavky na</w:t>
            </w:r>
            <w:r w:rsidR="00184EE9" w:rsidRPr="0049436B">
              <w:rPr>
                <w:sz w:val="24"/>
                <w:szCs w:val="24"/>
              </w:rPr>
              <w:t xml:space="preserve"> výstavbu, dostavbu, prestavbu a </w:t>
            </w:r>
            <w:r w:rsidR="00812A1F" w:rsidRPr="0049436B">
              <w:rPr>
                <w:sz w:val="24"/>
                <w:szCs w:val="24"/>
              </w:rPr>
              <w:t xml:space="preserve"> rekonštrukciu.</w:t>
            </w:r>
            <w:r>
              <w:rPr>
                <w:sz w:val="24"/>
                <w:szCs w:val="24"/>
              </w:rPr>
              <w:t xml:space="preserve"> </w:t>
            </w:r>
          </w:p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je zameraný  prioritne na obnovu lesa , pričom  výdavky na  obnovu lesa  predstavujú viac  ako 75 % celkových oprávnených výdavkov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</w:t>
            </w:r>
            <w:r w:rsidRPr="0078738E">
              <w:t>realizáciu ozdravných opatrení v lesoch poškodených biotickými, abiotickými alebo antropogénnymi škodlivými prírodnými činiteľmi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78738E">
              <w:rPr>
                <w:bCs/>
                <w:color w:val="000000"/>
              </w:rPr>
              <w:t xml:space="preserve">zahŕňa aj </w:t>
            </w:r>
            <w:r w:rsidRPr="0078738E">
              <w:t xml:space="preserve">oprávnené výdavky na výstavbu lesných ciest v lesoch s vysokým stupňom ohrozenia požiarom,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 xml:space="preserve">oprávnené  výdavky na výstavbu lesných ciest v lesoch so stredným stupňom ohrozenia požiarom 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 vysokým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protipožiarne monitorovacie systémy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78738E" w:rsidRDefault="006932F9" w:rsidP="00322A4A">
            <w:pPr>
              <w:numPr>
                <w:ilvl w:val="1"/>
                <w:numId w:val="38"/>
              </w:numPr>
              <w:ind w:left="317" w:hanging="284"/>
              <w:rPr>
                <w:bCs/>
                <w:color w:val="000000"/>
              </w:rPr>
            </w:pPr>
            <w:r w:rsidRPr="006932F9">
              <w:rPr>
                <w:bCs/>
                <w:color w:val="000000"/>
              </w:rPr>
              <w:t xml:space="preserve">zahŕňa </w:t>
            </w:r>
            <w:r w:rsidRPr="0078738E">
              <w:rPr>
                <w:bCs/>
                <w:color w:val="000000"/>
              </w:rPr>
              <w:t>oprávnené výdavky na výstavbu protipožiarnych nádrží a iných protipožiarnych opatrení v lesoch so stredným stupňom ohrozenia požiarom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D72543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980184" w:rsidRPr="00980184" w:rsidTr="0078738E">
        <w:trPr>
          <w:trHeight w:val="425"/>
        </w:trPr>
        <w:tc>
          <w:tcPr>
            <w:tcW w:w="709" w:type="dxa"/>
            <w:vMerge w:val="restart"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980184" w:rsidRPr="006932F9" w:rsidRDefault="006932F9" w:rsidP="0078738E">
            <w:pPr>
              <w:autoSpaceDE w:val="0"/>
              <w:autoSpaceDN w:val="0"/>
              <w:adjustRightInd w:val="0"/>
              <w:spacing w:before="120" w:after="120"/>
            </w:pPr>
            <w:r w:rsidRPr="006932F9">
              <w:t>Žiadateľ hospodári v lesoch:</w:t>
            </w:r>
          </w:p>
        </w:tc>
        <w:tc>
          <w:tcPr>
            <w:tcW w:w="708" w:type="dxa"/>
            <w:vAlign w:val="center"/>
          </w:tcPr>
          <w:p w:rsidR="00980184" w:rsidRPr="006932F9" w:rsidRDefault="00980184" w:rsidP="00980184"/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r w:rsidRPr="006932F9">
              <w:t>Výmeru obhospodarovaného lesa a podiel smreka a buka potvrdí OLÚ resp. jeho právny nástupca.</w:t>
            </w:r>
          </w:p>
          <w:p w:rsidR="00980184" w:rsidRPr="006932F9" w:rsidRDefault="00980184" w:rsidP="005F32E7">
            <w:pPr>
              <w:rPr>
                <w:b/>
                <w:bCs/>
                <w:color w:val="000000"/>
              </w:rPr>
            </w:pPr>
          </w:p>
        </w:tc>
      </w:tr>
      <w:tr w:rsidR="00980184" w:rsidRPr="00980184" w:rsidTr="00D72543">
        <w:trPr>
          <w:trHeight w:val="603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  <w:tab w:val="num" w:pos="432"/>
              </w:tabs>
              <w:ind w:left="317" w:right="204" w:hanging="284"/>
            </w:pPr>
            <w:r w:rsidRPr="006932F9">
              <w:t>s prevahou smreka a buka (viac ako 50 % z celkovej výmery obhospodarovaných lesov),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980184" w:rsidRPr="00980184" w:rsidTr="00D72543">
        <w:trPr>
          <w:trHeight w:val="690"/>
        </w:trPr>
        <w:tc>
          <w:tcPr>
            <w:tcW w:w="709" w:type="dxa"/>
            <w:vMerge/>
            <w:vAlign w:val="center"/>
          </w:tcPr>
          <w:p w:rsidR="00980184" w:rsidRPr="00201B6E" w:rsidRDefault="0098018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80184" w:rsidRPr="006932F9" w:rsidRDefault="006932F9" w:rsidP="00322A4A">
            <w:pPr>
              <w:numPr>
                <w:ilvl w:val="0"/>
                <w:numId w:val="7"/>
              </w:numPr>
              <w:tabs>
                <w:tab w:val="clear" w:pos="720"/>
                <w:tab w:val="num" w:pos="317"/>
              </w:tabs>
              <w:ind w:left="317" w:hanging="687"/>
            </w:pPr>
            <w:r w:rsidRPr="006932F9">
              <w:t>s prevahou iných drevín (viac ako 50 % z celkovej výmery obhospodarovaných lesov).</w:t>
            </w:r>
          </w:p>
        </w:tc>
        <w:tc>
          <w:tcPr>
            <w:tcW w:w="708" w:type="dxa"/>
            <w:vAlign w:val="center"/>
          </w:tcPr>
          <w:p w:rsidR="00980184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980184" w:rsidRPr="006932F9" w:rsidRDefault="00980184" w:rsidP="00356D18"/>
        </w:tc>
      </w:tr>
      <w:tr w:rsidR="006932F9" w:rsidRPr="00980184" w:rsidTr="0078738E">
        <w:trPr>
          <w:trHeight w:val="844"/>
        </w:trPr>
        <w:tc>
          <w:tcPr>
            <w:tcW w:w="709" w:type="dxa"/>
            <w:vMerge w:val="restart"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80184">
              <w:rPr>
                <w:b/>
                <w:bCs/>
                <w:color w:val="000000"/>
                <w:sz w:val="22"/>
                <w:szCs w:val="22"/>
              </w:rPr>
              <w:t>5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rPr>
                <w:b/>
                <w:bCs/>
                <w:color w:val="000000"/>
              </w:rPr>
            </w:pPr>
            <w:r w:rsidRPr="006932F9">
              <w:t>Žiadateľ spĺňa aspoň jedno kritérium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78738E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ED7A81">
            <w:pPr>
              <w:rPr>
                <w:b/>
                <w:bCs/>
                <w:color w:val="000000"/>
              </w:rPr>
            </w:pPr>
            <w:r w:rsidRPr="006932F9">
              <w:t>Platí pre aspoň jeden rok 2011 alebo 2012. Spôsob uplatňovania je uvedený nižšie.</w:t>
            </w:r>
          </w:p>
        </w:tc>
      </w:tr>
      <w:tr w:rsidR="006932F9" w:rsidRPr="00980184" w:rsidTr="0078738E">
        <w:trPr>
          <w:trHeight w:val="844"/>
        </w:trPr>
        <w:tc>
          <w:tcPr>
            <w:tcW w:w="709" w:type="dxa"/>
            <w:vMerge/>
            <w:vAlign w:val="center"/>
          </w:tcPr>
          <w:p w:rsidR="006932F9" w:rsidRPr="00980184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jc w:val="both"/>
              <w:rPr>
                <w:b/>
                <w:bCs/>
                <w:color w:val="000000"/>
              </w:rPr>
            </w:pPr>
            <w:r w:rsidRPr="006932F9"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6932F9" w:rsidRPr="0078738E" w:rsidRDefault="0078738E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980184">
            <w:pPr>
              <w:jc w:val="both"/>
              <w:rPr>
                <w:b/>
                <w:bCs/>
                <w:color w:val="000000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tabs>
                <w:tab w:val="num" w:pos="432"/>
              </w:tabs>
              <w:jc w:val="both"/>
              <w:rPr>
                <w:b/>
                <w:bCs/>
                <w:color w:val="000000"/>
              </w:rPr>
            </w:pPr>
            <w:r w:rsidRPr="006932F9">
              <w:t>Ekonomická primeranosť projektu v prepočte na výmeru lesa je:</w:t>
            </w:r>
          </w:p>
        </w:tc>
        <w:tc>
          <w:tcPr>
            <w:tcW w:w="708" w:type="dxa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do 2000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943" w:type="dxa"/>
            <w:vMerge w:val="restart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Ekonomická primeranosť sa vypočíta ako podiel výšky celkových žiadaných oprávnených výdavkov ku veľkosti obhospodarovanej plochy lesa žiadateľom. V prípade, že žiadateľ obhospodaruje viac ako 100 000 ha lesa, vynásobí sa počtom podaných projektov za žiadateľa.</w:t>
            </w: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78738E">
              <w:rPr>
                <w:szCs w:val="24"/>
              </w:rPr>
              <w:t>do 5000 EUR/ha vrátane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1929B7">
        <w:trPr>
          <w:trHeight w:val="801"/>
        </w:trPr>
        <w:tc>
          <w:tcPr>
            <w:tcW w:w="709" w:type="dxa"/>
            <w:vMerge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vAlign w:val="center"/>
          </w:tcPr>
          <w:p w:rsidR="006932F9" w:rsidRPr="006932F9" w:rsidRDefault="006932F9" w:rsidP="0078738E">
            <w:pPr>
              <w:pStyle w:val="Odsekzoznamu"/>
              <w:numPr>
                <w:ilvl w:val="0"/>
                <w:numId w:val="42"/>
              </w:numPr>
              <w:tabs>
                <w:tab w:val="num" w:pos="432"/>
              </w:tabs>
              <w:spacing w:after="0"/>
              <w:jc w:val="both"/>
              <w:rPr>
                <w:szCs w:val="24"/>
              </w:rPr>
            </w:pPr>
            <w:r w:rsidRPr="006932F9">
              <w:rPr>
                <w:szCs w:val="24"/>
              </w:rPr>
              <w:t>nad 5000 EUR/ha</w:t>
            </w:r>
          </w:p>
        </w:tc>
        <w:tc>
          <w:tcPr>
            <w:tcW w:w="708" w:type="dxa"/>
            <w:vAlign w:val="center"/>
          </w:tcPr>
          <w:p w:rsidR="006932F9" w:rsidRPr="0078738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78738E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943" w:type="dxa"/>
            <w:vMerge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980184" w:rsidTr="00D72543">
        <w:tc>
          <w:tcPr>
            <w:tcW w:w="709" w:type="dxa"/>
            <w:vMerge w:val="restart"/>
            <w:vAlign w:val="center"/>
          </w:tcPr>
          <w:p w:rsidR="006932F9" w:rsidRPr="00201B6E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</w:t>
            </w:r>
            <w:r w:rsidR="002C0D4D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4536" w:type="dxa"/>
          </w:tcPr>
          <w:p w:rsidR="006932F9" w:rsidRPr="0078738E" w:rsidRDefault="006932F9" w:rsidP="0078738E">
            <w:pPr>
              <w:jc w:val="both"/>
            </w:pPr>
            <w:r w:rsidRPr="0078738E"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932F9">
              <w:rPr>
                <w:sz w:val="24"/>
                <w:szCs w:val="24"/>
              </w:rPr>
              <w:t>max 32</w:t>
            </w:r>
          </w:p>
        </w:tc>
        <w:tc>
          <w:tcPr>
            <w:tcW w:w="2943" w:type="dxa"/>
            <w:vMerge w:val="restart"/>
            <w:shd w:val="clear" w:color="auto" w:fill="92D050"/>
            <w:vAlign w:val="center"/>
          </w:tcPr>
          <w:p w:rsidR="006932F9" w:rsidRPr="006932F9" w:rsidRDefault="006932F9" w:rsidP="00ED7A81">
            <w:pPr>
              <w:spacing w:before="120"/>
            </w:pPr>
            <w:r w:rsidRPr="006932F9">
              <w:rPr>
                <w:b/>
              </w:rPr>
              <w:t>Hodnotenie 2 nezávislými hodnotiteľmi. Za každé podkritérium maximálne 4 body, spolu maximálne 32 bodov</w:t>
            </w: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súlad projektu so strategickými dokumentmi lesného hospodárstva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>vhodnosť, účelnosť a komplexnosť projektu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spôsob realizácie projektu, ekologické aspekty riešenia projektu, použitie životnému prostrediu šetrných technológii  a metód riešenia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</w:pPr>
            <w:r w:rsidRPr="006932F9">
              <w:t xml:space="preserve">rozpočet a nákladová efektívnosť </w:t>
            </w:r>
            <w:r w:rsidRPr="006932F9">
              <w:rPr>
                <w:bCs/>
              </w:rPr>
              <w:t xml:space="preserve">,udržateľnosť projektu 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D72543">
        <w:tc>
          <w:tcPr>
            <w:tcW w:w="709" w:type="dxa"/>
            <w:vMerge/>
          </w:tcPr>
          <w:p w:rsidR="006932F9" w:rsidRPr="00201B6E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6932F9" w:rsidRPr="006932F9" w:rsidRDefault="006932F9" w:rsidP="00322A4A">
            <w:pPr>
              <w:numPr>
                <w:ilvl w:val="0"/>
                <w:numId w:val="26"/>
              </w:numPr>
              <w:spacing w:before="120"/>
              <w:ind w:left="317" w:hanging="284"/>
              <w:rPr>
                <w:bCs/>
                <w:color w:val="000000"/>
              </w:rPr>
            </w:pPr>
            <w:r w:rsidRPr="006932F9">
              <w:t>administratívna, odborná a technická kapacita</w:t>
            </w:r>
          </w:p>
        </w:tc>
        <w:tc>
          <w:tcPr>
            <w:tcW w:w="708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43" w:type="dxa"/>
            <w:vMerge/>
          </w:tcPr>
          <w:p w:rsidR="006932F9" w:rsidRPr="006932F9" w:rsidRDefault="006932F9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932F9" w:rsidRPr="00201B6E" w:rsidTr="00946B52">
        <w:trPr>
          <w:trHeight w:val="418"/>
        </w:trPr>
        <w:tc>
          <w:tcPr>
            <w:tcW w:w="5245" w:type="dxa"/>
            <w:gridSpan w:val="2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sz w:val="24"/>
                <w:szCs w:val="24"/>
              </w:rPr>
              <w:t>Spolu maximálne</w:t>
            </w:r>
          </w:p>
        </w:tc>
        <w:tc>
          <w:tcPr>
            <w:tcW w:w="708" w:type="dxa"/>
            <w:shd w:val="clear" w:color="auto" w:fill="92D050"/>
            <w:vAlign w:val="center"/>
          </w:tcPr>
          <w:p w:rsidR="006932F9" w:rsidRPr="00946B52" w:rsidRDefault="00215FEE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46B52">
              <w:rPr>
                <w:b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2943" w:type="dxa"/>
            <w:shd w:val="clear" w:color="auto" w:fill="92D050"/>
          </w:tcPr>
          <w:p w:rsidR="006932F9" w:rsidRPr="006932F9" w:rsidRDefault="006932F9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1929B7" w:rsidRDefault="001929B7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</w:p>
    <w:p w:rsidR="00385344" w:rsidRPr="00A05119" w:rsidRDefault="00385344" w:rsidP="00ED7A81">
      <w:pPr>
        <w:jc w:val="both"/>
      </w:pPr>
      <w:r w:rsidRPr="00ED7A81"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DB14F1" w:rsidRPr="00ED7A81">
        <w:t>oja vidieka SR 2007 – 2013 pre 3</w:t>
      </w:r>
      <w:r w:rsidRPr="00ED7A81">
        <w:t>. výzvu na predkladanie žiadostí o nenávratný fina</w:t>
      </w:r>
      <w:r w:rsidR="00DB14F1" w:rsidRPr="00ED7A81">
        <w:t xml:space="preserve">nčný príspevok na opatrenie </w:t>
      </w:r>
      <w:r w:rsidR="00CD0363" w:rsidRPr="00ED7A81">
        <w:t xml:space="preserve">2.1 Obnova potenciálu lesného hospodárstva a zavedenie preventívnych opatrení </w:t>
      </w:r>
      <w:r w:rsidRPr="00ED7A81">
        <w:t>(ďalej len „Príručka“), ktorá tvorí</w:t>
      </w:r>
      <w:r w:rsidRPr="00A05119">
        <w:t xml:space="preserve"> prílohu tejto výzvy.</w:t>
      </w:r>
    </w:p>
    <w:p w:rsidR="00385344" w:rsidRPr="00A05119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322A4A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</w:rPr>
      </w:pPr>
      <w:r w:rsidRPr="00322A4A">
        <w:rPr>
          <w:b/>
          <w:bCs/>
          <w:color w:val="000000"/>
        </w:rPr>
        <w:t>Ďalšie podmienky poskytnutia nenávratného finančného príspevku:</w:t>
      </w:r>
    </w:p>
    <w:p w:rsidR="00C90BDC" w:rsidRPr="00A05119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</w:rPr>
      </w:pP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www.apa.sk</w:t>
        </w:r>
      </w:hyperlink>
      <w:r w:rsidRPr="00A05119">
        <w:rPr>
          <w:bCs/>
          <w:sz w:val="24"/>
          <w:szCs w:val="24"/>
        </w:rPr>
        <w:t>.</w:t>
      </w:r>
      <w:r w:rsidRPr="00A05119">
        <w:rPr>
          <w:sz w:val="24"/>
          <w:szCs w:val="24"/>
        </w:rPr>
        <w:t xml:space="preserve"> Pre vypracovanie ŽoNFP a pre ich administráciu platia ustanovenia uvedené v tejto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Prípadné zmeny informácií zverejnených vo výzve alebo v 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ríručke. Zmeny budú zverejňované formou </w:t>
      </w:r>
      <w:r w:rsidRPr="00A05119">
        <w:rPr>
          <w:b/>
          <w:sz w:val="24"/>
          <w:szCs w:val="24"/>
        </w:rPr>
        <w:t>oznámenia</w:t>
      </w:r>
      <w:r w:rsidRPr="00A05119">
        <w:rPr>
          <w:sz w:val="24"/>
          <w:szCs w:val="24"/>
        </w:rPr>
        <w:t xml:space="preserve"> </w:t>
      </w:r>
      <w:r w:rsidRPr="00A05119">
        <w:rPr>
          <w:bCs/>
          <w:sz w:val="24"/>
          <w:szCs w:val="24"/>
        </w:rPr>
        <w:t xml:space="preserve">na webovom sídle PPA: </w:t>
      </w:r>
      <w:hyperlink r:id="rId10" w:history="1">
        <w:r w:rsidRPr="00A05119">
          <w:rPr>
            <w:rStyle w:val="Hypertextovprepojenie"/>
            <w:rFonts w:ascii="Times New Roman" w:hAnsi="Times New Roman"/>
            <w:sz w:val="24"/>
            <w:szCs w:val="24"/>
          </w:rPr>
          <w:t>www.apa.sk</w:t>
        </w:r>
      </w:hyperlink>
      <w:r w:rsidRPr="00A05119">
        <w:rPr>
          <w:sz w:val="24"/>
          <w:szCs w:val="24"/>
        </w:rPr>
        <w:t xml:space="preserve">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A05119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A05119">
        <w:rPr>
          <w:b/>
          <w:sz w:val="24"/>
          <w:szCs w:val="24"/>
        </w:rPr>
        <w:t>Pôdohospodárska platobná agentúra, Dobrovičova 12, 815 26 Bratislava.</w:t>
      </w:r>
    </w:p>
    <w:p w:rsidR="00582051" w:rsidRPr="00A05119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A05119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A05119">
        <w:rPr>
          <w:sz w:val="24"/>
          <w:szCs w:val="24"/>
          <w:lang w:val="cs-CZ"/>
        </w:rPr>
        <w:t xml:space="preserve"> spolu so </w:t>
      </w:r>
      <w:r w:rsidRPr="00A05119">
        <w:rPr>
          <w:sz w:val="24"/>
          <w:szCs w:val="24"/>
        </w:rPr>
        <w:t xml:space="preserve">všetkými </w:t>
      </w:r>
      <w:r w:rsidRPr="00A05119">
        <w:rPr>
          <w:sz w:val="24"/>
          <w:szCs w:val="24"/>
          <w:lang w:val="cs-CZ"/>
        </w:rPr>
        <w:t xml:space="preserve">povinnými  </w:t>
      </w:r>
      <w:r w:rsidRPr="00A05119">
        <w:rPr>
          <w:sz w:val="24"/>
          <w:szCs w:val="24"/>
        </w:rPr>
        <w:t xml:space="preserve">prílohami </w:t>
      </w:r>
      <w:r w:rsidRPr="00A05119">
        <w:rPr>
          <w:b/>
          <w:sz w:val="24"/>
          <w:szCs w:val="24"/>
        </w:rPr>
        <w:t>v zalepenej obálke/balíku s</w:t>
      </w:r>
      <w:r w:rsidRPr="00A05119">
        <w:rPr>
          <w:rStyle w:val="Siln"/>
          <w:b w:val="0"/>
          <w:bCs/>
          <w:color w:val="000000"/>
          <w:sz w:val="24"/>
          <w:szCs w:val="24"/>
        </w:rPr>
        <w:t xml:space="preserve"> </w:t>
      </w:r>
      <w:r w:rsidRPr="00A05119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A05119">
        <w:rPr>
          <w:b/>
          <w:sz w:val="24"/>
          <w:szCs w:val="24"/>
        </w:rPr>
        <w:t>„ Neotvárať“.</w:t>
      </w:r>
      <w:r w:rsidRPr="00A05119">
        <w:rPr>
          <w:color w:val="000000"/>
          <w:sz w:val="24"/>
          <w:szCs w:val="24"/>
        </w:rPr>
        <w:t xml:space="preserve"> </w:t>
      </w:r>
    </w:p>
    <w:p w:rsidR="00F02E52" w:rsidRPr="00A05119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 xml:space="preserve"> Ak žiadateľ ŽoNFP sa predkladá v balíku na ktorom nie je jasne vyznačená pečiatka odosielajúcej pošty, žiadateľ bude vyzvaný PPA na predloženie dokladu z príslušnej pošty o odoslaní </w:t>
      </w:r>
      <w:r w:rsidR="000B657F" w:rsidRPr="00A05119">
        <w:rPr>
          <w:sz w:val="24"/>
          <w:szCs w:val="24"/>
        </w:rPr>
        <w:t xml:space="preserve"> zásielky.</w:t>
      </w:r>
      <w:r w:rsidR="00F144EC" w:rsidRPr="00A05119">
        <w:rPr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PPA prijíma a následne registruje len</w:t>
      </w:r>
      <w:r w:rsidR="00F02E52" w:rsidRPr="00A05119">
        <w:rPr>
          <w:b/>
          <w:i/>
          <w:sz w:val="24"/>
          <w:szCs w:val="24"/>
        </w:rPr>
        <w:t xml:space="preserve"> </w:t>
      </w:r>
      <w:r w:rsidR="00F02E52" w:rsidRPr="00A05119">
        <w:rPr>
          <w:sz w:val="24"/>
          <w:szCs w:val="24"/>
        </w:rPr>
        <w:t>ŽoNFP, ktoré obsahujú všetky náležitosti (</w:t>
      </w:r>
      <w:r w:rsidR="00F02E52" w:rsidRPr="00A05119">
        <w:rPr>
          <w:b/>
          <w:sz w:val="24"/>
          <w:szCs w:val="24"/>
        </w:rPr>
        <w:t>povinné prílohy</w:t>
      </w:r>
      <w:r w:rsidR="00F02E52" w:rsidRPr="00A05119">
        <w:rPr>
          <w:sz w:val="24"/>
          <w:szCs w:val="24"/>
        </w:rPr>
        <w:t xml:space="preserve">), </w:t>
      </w:r>
      <w:r w:rsidR="00F02E52" w:rsidRPr="00A05119">
        <w:rPr>
          <w:b/>
          <w:sz w:val="24"/>
          <w:szCs w:val="24"/>
        </w:rPr>
        <w:t>uvedené v</w:t>
      </w:r>
      <w:r w:rsidR="00F02E52" w:rsidRPr="00A05119">
        <w:rPr>
          <w:b/>
          <w:sz w:val="24"/>
          <w:szCs w:val="24"/>
          <w:lang w:val="cs-CZ"/>
        </w:rPr>
        <w:t xml:space="preserve"> časti  </w:t>
      </w:r>
      <w:r w:rsidR="00F02E52" w:rsidRPr="00A05119">
        <w:rPr>
          <w:b/>
          <w:smallCaps/>
          <w:sz w:val="24"/>
          <w:szCs w:val="24"/>
        </w:rPr>
        <w:t>D. Povinné Prílohy projektu pri podaní žiadosti</w:t>
      </w:r>
      <w:r w:rsidR="00F02E52" w:rsidRPr="00A05119">
        <w:rPr>
          <w:sz w:val="24"/>
          <w:szCs w:val="24"/>
        </w:rPr>
        <w:t>.</w:t>
      </w:r>
      <w:r w:rsidR="00F02E52" w:rsidRPr="00A05119">
        <w:rPr>
          <w:sz w:val="24"/>
          <w:szCs w:val="24"/>
          <w:lang w:val="cs-CZ"/>
        </w:rPr>
        <w:t xml:space="preserve"> ŽoNFP spolu </w:t>
      </w:r>
      <w:r w:rsidR="00F02E52" w:rsidRPr="00A05119">
        <w:rPr>
          <w:sz w:val="24"/>
          <w:szCs w:val="24"/>
        </w:rPr>
        <w:t xml:space="preserve">s Tabuľkovou časťou projektu vo formáte Excel žiadateľ predkladá 1x v tlačenej a </w:t>
      </w:r>
      <w:r w:rsidR="001929B7">
        <w:rPr>
          <w:sz w:val="24"/>
          <w:szCs w:val="24"/>
        </w:rPr>
        <w:t>1</w:t>
      </w:r>
      <w:r w:rsidR="00F02E52" w:rsidRPr="00A05119">
        <w:rPr>
          <w:sz w:val="24"/>
          <w:szCs w:val="24"/>
        </w:rPr>
        <w:t xml:space="preserve">x v elektronickej verzii. Poradie predložených príloh musí súhlasiť s poradím uvedeným v zozname povinných príloh, ktorý je súčasťou formuláru ŽoNFP. 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  <w:lang w:val="cs-CZ"/>
        </w:rPr>
        <w:t>P</w:t>
      </w:r>
      <w:r w:rsidRPr="00A05119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A05119">
        <w:rPr>
          <w:sz w:val="24"/>
          <w:szCs w:val="24"/>
          <w:lang w:val="cs-CZ"/>
        </w:rPr>
        <w:t>za</w:t>
      </w:r>
      <w:r w:rsidRPr="00A05119">
        <w:rPr>
          <w:sz w:val="24"/>
          <w:szCs w:val="24"/>
        </w:rPr>
        <w:t xml:space="preserve"> posledný deň prijímania ŽoNFP na PPA</w:t>
      </w:r>
      <w:r w:rsidRPr="00A05119">
        <w:rPr>
          <w:sz w:val="24"/>
          <w:szCs w:val="24"/>
          <w:lang w:val="cs-CZ"/>
        </w:rPr>
        <w:t>.</w:t>
      </w:r>
      <w:r w:rsidRPr="00A05119">
        <w:rPr>
          <w:sz w:val="24"/>
          <w:szCs w:val="24"/>
        </w:rPr>
        <w:t xml:space="preserve"> </w:t>
      </w:r>
    </w:p>
    <w:p w:rsidR="00F02E52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Ak žiadateľ predkladá  ŽoNFP  v balíku na ktorom nie je jasne vyznačená pečiatka s uvedením dátumu odosielajúcej pošty, žiadateľ bude vyzvaný PPA na predloženie dokladu z príslušnej pošty o odoslaní  zásielky. </w:t>
      </w:r>
    </w:p>
    <w:p w:rsidR="00341CA6" w:rsidRPr="0049436B" w:rsidRDefault="00341CA6" w:rsidP="00F14483">
      <w:pPr>
        <w:pStyle w:val="Odsekzoznamu"/>
        <w:numPr>
          <w:ilvl w:val="0"/>
          <w:numId w:val="15"/>
        </w:numPr>
        <w:spacing w:before="120" w:after="120"/>
        <w:contextualSpacing w:val="0"/>
        <w:jc w:val="both"/>
        <w:rPr>
          <w:szCs w:val="24"/>
          <w:lang w:eastAsia="sk-SK"/>
        </w:rPr>
      </w:pPr>
      <w:r w:rsidRPr="0049436B">
        <w:rPr>
          <w:szCs w:val="24"/>
          <w:lang w:eastAsia="sk-SK"/>
        </w:rPr>
        <w:t xml:space="preserve">PPA odporúča žiadateľom zasielať  balík doporučenou zásielkou. Takto zasielané zásielky je možné  podľa čísla a dátumu  podania overiť na stránke Slovenskej pošty </w:t>
      </w:r>
      <w:hyperlink r:id="rId11" w:history="1">
        <w:r w:rsidRPr="0049436B">
          <w:rPr>
            <w:szCs w:val="24"/>
            <w:lang w:eastAsia="sk-SK"/>
          </w:rPr>
          <w:t>http://tandt.posta.sk/</w:t>
        </w:r>
      </w:hyperlink>
    </w:p>
    <w:p w:rsidR="00F02E52" w:rsidRPr="008F3F01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</w:t>
      </w:r>
      <w:r w:rsidRPr="00A05119">
        <w:rPr>
          <w:sz w:val="24"/>
          <w:szCs w:val="24"/>
          <w:lang w:val="cs-CZ"/>
        </w:rPr>
        <w:t xml:space="preserve"> doručené na PPA po uvedených </w:t>
      </w:r>
      <w:r w:rsidRPr="008F3F01">
        <w:rPr>
          <w:sz w:val="24"/>
          <w:szCs w:val="24"/>
        </w:rPr>
        <w:t>termínoch budú  žiadateľovi vrátené späť.</w:t>
      </w:r>
    </w:p>
    <w:p w:rsidR="00F02E52" w:rsidRPr="00A05119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8F3F01">
        <w:rPr>
          <w:sz w:val="24"/>
          <w:szCs w:val="24"/>
        </w:rPr>
        <w:t xml:space="preserve">PPA si vyhradzuje právo dodatočného vyžiadania </w:t>
      </w:r>
      <w:r w:rsidRPr="008F3F01">
        <w:rPr>
          <w:b/>
          <w:sz w:val="24"/>
          <w:szCs w:val="24"/>
        </w:rPr>
        <w:t>ďalších informácií</w:t>
      </w:r>
      <w:r w:rsidRPr="008F3F01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doplnenie</w:t>
      </w:r>
      <w:r w:rsidRPr="00A05119">
        <w:rPr>
          <w:sz w:val="24"/>
          <w:szCs w:val="24"/>
        </w:rPr>
        <w:t xml:space="preserve"> ďalších informácií</w:t>
      </w:r>
      <w:r w:rsidRPr="00A05119">
        <w:rPr>
          <w:sz w:val="24"/>
          <w:szCs w:val="24"/>
          <w:lang w:val="cs-CZ"/>
        </w:rPr>
        <w:t xml:space="preserve"> a to </w:t>
      </w:r>
      <w:r w:rsidRPr="00A05119">
        <w:rPr>
          <w:b/>
          <w:sz w:val="24"/>
          <w:szCs w:val="24"/>
        </w:rPr>
        <w:t>do 10</w:t>
      </w:r>
      <w:r w:rsidRPr="00A05119">
        <w:rPr>
          <w:b/>
          <w:sz w:val="24"/>
          <w:szCs w:val="24"/>
          <w:lang w:val="cs-CZ"/>
        </w:rPr>
        <w:t>-tich</w:t>
      </w:r>
      <w:r w:rsidRPr="00A05119">
        <w:rPr>
          <w:b/>
          <w:sz w:val="24"/>
          <w:szCs w:val="24"/>
        </w:rPr>
        <w:t xml:space="preserve"> pracovných dní</w:t>
      </w:r>
      <w:r w:rsidRPr="00A05119">
        <w:rPr>
          <w:sz w:val="24"/>
          <w:szCs w:val="24"/>
        </w:rPr>
        <w:t xml:space="preserve"> odo dňa doručenia</w:t>
      </w:r>
      <w:r w:rsidRPr="00A05119">
        <w:rPr>
          <w:sz w:val="24"/>
          <w:szCs w:val="24"/>
          <w:lang w:val="cs-CZ"/>
        </w:rPr>
        <w:t xml:space="preserve"> </w:t>
      </w:r>
      <w:r w:rsidRPr="00A05119">
        <w:rPr>
          <w:sz w:val="24"/>
          <w:szCs w:val="24"/>
        </w:rPr>
        <w:t>výzvy osobne alebo poštou</w:t>
      </w:r>
      <w:r w:rsidRPr="00A05119">
        <w:rPr>
          <w:sz w:val="24"/>
          <w:szCs w:val="24"/>
          <w:lang w:val="cs-CZ"/>
        </w:rPr>
        <w:t xml:space="preserve"> na adresu </w:t>
      </w:r>
      <w:r w:rsidRPr="00A05119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A05119">
        <w:rPr>
          <w:sz w:val="24"/>
          <w:szCs w:val="24"/>
        </w:rPr>
        <w:t>ďalších informácií</w:t>
      </w:r>
      <w:r w:rsidRPr="00A05119">
        <w:rPr>
          <w:sz w:val="24"/>
          <w:szCs w:val="24"/>
        </w:rPr>
        <w:t xml:space="preserve"> (údajov) platia rovnaké podmienky, ako pri prijímaní ŽoNFP. </w:t>
      </w:r>
    </w:p>
    <w:p w:rsidR="00F02E52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A05119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A05119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Upozornenie:</w:t>
      </w:r>
    </w:p>
    <w:p w:rsidR="008F3F01" w:rsidRPr="00A05119" w:rsidRDefault="008F3F01" w:rsidP="008F3F01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bCs/>
          <w:color w:val="000000"/>
        </w:rPr>
      </w:pPr>
    </w:p>
    <w:p w:rsidR="00C90BDC" w:rsidRPr="00A05119" w:rsidRDefault="00C90BDC" w:rsidP="008F3F01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A05119">
        <w:rPr>
          <w:sz w:val="24"/>
          <w:szCs w:val="24"/>
        </w:rPr>
        <w:t xml:space="preserve">Žiadateľ </w:t>
      </w:r>
      <w:r w:rsidRPr="00A05119">
        <w:rPr>
          <w:b/>
          <w:sz w:val="24"/>
          <w:szCs w:val="24"/>
        </w:rPr>
        <w:t>je povinný</w:t>
      </w:r>
      <w:r w:rsidRPr="00A05119">
        <w:rPr>
          <w:sz w:val="24"/>
          <w:szCs w:val="24"/>
        </w:rPr>
        <w:t xml:space="preserve"> pri obstarávaní tovarov, stavebných prác a služieb postupovať v súlade so zákonom č. 25/2006 Z.z. v znení neskorších predpisov</w:t>
      </w:r>
      <w:r w:rsidR="000B657F" w:rsidRPr="00A05119">
        <w:rPr>
          <w:sz w:val="24"/>
          <w:szCs w:val="24"/>
        </w:rPr>
        <w:t xml:space="preserve">, ďalej len „Zákon o VO“ </w:t>
      </w:r>
      <w:r w:rsidRPr="00A05119">
        <w:rPr>
          <w:sz w:val="24"/>
          <w:szCs w:val="24"/>
        </w:rPr>
        <w:t>a </w:t>
      </w:r>
      <w:r w:rsidRPr="00A05119">
        <w:rPr>
          <w:sz w:val="24"/>
          <w:szCs w:val="24"/>
          <w:lang w:val="cs-CZ"/>
        </w:rPr>
        <w:t>v </w:t>
      </w:r>
      <w:r w:rsidRPr="00A05119">
        <w:rPr>
          <w:sz w:val="24"/>
          <w:szCs w:val="24"/>
        </w:rPr>
        <w:t xml:space="preserve">súlade </w:t>
      </w:r>
      <w:r w:rsidRPr="00A05119">
        <w:rPr>
          <w:sz w:val="24"/>
          <w:szCs w:val="24"/>
          <w:lang w:val="cs-CZ"/>
        </w:rPr>
        <w:t xml:space="preserve">s </w:t>
      </w:r>
      <w:r w:rsidRPr="00A05119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A05119">
        <w:rPr>
          <w:bCs/>
          <w:color w:val="000000"/>
          <w:sz w:val="24"/>
          <w:szCs w:val="24"/>
          <w:lang w:val="cs-CZ"/>
        </w:rPr>
        <w:t>.</w:t>
      </w:r>
    </w:p>
    <w:p w:rsidR="00C90BDC" w:rsidRPr="00A05119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A05119" w:rsidRDefault="000B657F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A05119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AF1898" w:rsidRPr="00322A4A" w:rsidRDefault="00AF1898" w:rsidP="00DB14F1">
      <w:pPr>
        <w:numPr>
          <w:ilvl w:val="0"/>
          <w:numId w:val="25"/>
        </w:numPr>
        <w:spacing w:before="120" w:after="120"/>
        <w:ind w:left="568" w:hanging="284"/>
        <w:jc w:val="both"/>
        <w:rPr>
          <w:bCs/>
          <w:color w:val="000000"/>
        </w:rPr>
      </w:pPr>
      <w:r w:rsidRPr="00A05119">
        <w:rPr>
          <w:bCs/>
          <w:color w:val="000000"/>
        </w:rPr>
        <w:t xml:space="preserve">V prípade, ak žiadateľ na vyhodnotenie ponúk použije aj iné kritéria ako je najnižšia cena, cena musí v rámci bodovacích kritérií predstavovať </w:t>
      </w:r>
      <w:r w:rsidRPr="00322A4A">
        <w:rPr>
          <w:bCs/>
          <w:color w:val="000000"/>
        </w:rPr>
        <w:t xml:space="preserve">hodnotu minimálne </w:t>
      </w:r>
      <w:r w:rsidR="002E0AE5" w:rsidRPr="00322A4A">
        <w:rPr>
          <w:bCs/>
          <w:color w:val="000000"/>
        </w:rPr>
        <w:t>80</w:t>
      </w:r>
      <w:r w:rsidRPr="00322A4A">
        <w:rPr>
          <w:bCs/>
          <w:color w:val="000000"/>
        </w:rPr>
        <w:t xml:space="preserve"> %.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sz w:val="24"/>
          <w:szCs w:val="24"/>
        </w:rPr>
        <w:t>Žiadateľ je povinný dodržiavať pravidlá týkajúce sa konfliktu záujmov súvislosti so zadávaním zákaziek  na dodanie tovaru, uskutočnenie stavebných prác</w:t>
      </w:r>
      <w:r w:rsidR="000749FB" w:rsidRPr="00322A4A">
        <w:rPr>
          <w:sz w:val="24"/>
          <w:szCs w:val="24"/>
        </w:rPr>
        <w:t xml:space="preserve">, </w:t>
      </w:r>
      <w:r w:rsidRPr="00322A4A">
        <w:rPr>
          <w:sz w:val="24"/>
          <w:szCs w:val="24"/>
        </w:rPr>
        <w:t>poskytnut</w:t>
      </w:r>
      <w:r w:rsidR="000749FB" w:rsidRPr="00322A4A">
        <w:rPr>
          <w:sz w:val="24"/>
          <w:szCs w:val="24"/>
        </w:rPr>
        <w:t>ím</w:t>
      </w:r>
      <w:r w:rsidRPr="00322A4A">
        <w:rPr>
          <w:sz w:val="24"/>
          <w:szCs w:val="24"/>
        </w:rPr>
        <w:t xml:space="preserve"> služieb a uzatvorením zmlúv súvisiacich s týmito zákazkami. Pravidlá sú podrobne uvedené v </w:t>
      </w:r>
      <w:r w:rsidRPr="00322A4A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322A4A" w:rsidRDefault="00C90BDC" w:rsidP="005F32E7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22A4A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Default="00C90BDC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A05119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A05119">
        <w:rPr>
          <w:bCs/>
          <w:color w:val="000000"/>
          <w:sz w:val="24"/>
          <w:szCs w:val="24"/>
        </w:rPr>
        <w:t xml:space="preserve"> </w:t>
      </w:r>
    </w:p>
    <w:p w:rsidR="00E638B7" w:rsidRPr="0049436B" w:rsidRDefault="009F0BD8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49436B">
        <w:rPr>
          <w:sz w:val="22"/>
          <w:szCs w:val="22"/>
        </w:rPr>
        <w:t>V rámci opatrenia sa ŽoNFP zoradia podľa počtu dosiahnutých bodov v zmysle bodovacích kritérií 1 až 6 a vytvorí sa hranica finančných možností (posúdi sa súčet finančných požiadaviek všetkých zoradených ŽoNFP s finančnými možnosťami, t.j. finančným limitom na kontrahovanie stanovenom vo výzve).</w:t>
      </w:r>
    </w:p>
    <w:p w:rsidR="009F0BD8" w:rsidRPr="0049436B" w:rsidRDefault="009F0BD8" w:rsidP="009F0BD8">
      <w:pPr>
        <w:pStyle w:val="Zkladntext3"/>
        <w:keepLines/>
        <w:numPr>
          <w:ilvl w:val="1"/>
          <w:numId w:val="4"/>
        </w:numPr>
        <w:tabs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49436B">
        <w:rPr>
          <w:sz w:val="22"/>
          <w:szCs w:val="22"/>
        </w:rPr>
        <w:t>V prípade, ak hranica finančných možností bude vyššia ako finančný limit na kontrahovanie stanovený vo výzve, PPA bude bodovacie kritérium č. 7 vyhodnocovať len v projektoch, ktoré dosiahli hranicu v bodovacích kritériách 1 až 6 -  46 bodov.</w:t>
      </w:r>
    </w:p>
    <w:p w:rsidR="009F0BD8" w:rsidRPr="00A05119" w:rsidRDefault="009F0BD8" w:rsidP="009F0BD8">
      <w:pPr>
        <w:pStyle w:val="Zkladntext3"/>
        <w:keepLines/>
        <w:spacing w:after="0" w:line="280" w:lineRule="exact"/>
        <w:ind w:left="567"/>
        <w:jc w:val="both"/>
        <w:rPr>
          <w:bCs/>
          <w:color w:val="000000"/>
          <w:sz w:val="24"/>
          <w:szCs w:val="24"/>
        </w:rPr>
      </w:pPr>
    </w:p>
    <w:p w:rsidR="00420DF8" w:rsidRPr="00A05119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4"/>
        </w:rPr>
      </w:pPr>
    </w:p>
    <w:p w:rsidR="000E31C3" w:rsidRPr="00A05119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A05119">
        <w:rPr>
          <w:b/>
          <w:bCs/>
          <w:color w:val="000000"/>
        </w:rPr>
        <w:t>Kontaktné údaje a spôsob komunikácie:</w:t>
      </w:r>
    </w:p>
    <w:p w:rsidR="008F3F01" w:rsidRDefault="008F3F01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8F3F01">
      <w:pPr>
        <w:pStyle w:val="Normlnywebov"/>
        <w:spacing w:before="0" w:beforeAutospacing="0" w:after="0" w:afterAutospacing="0"/>
        <w:ind w:left="357" w:firstLine="0"/>
        <w:rPr>
          <w:rFonts w:ascii="Times New Roman" w:hAnsi="Times New Roman"/>
          <w:sz w:val="24"/>
          <w:szCs w:val="24"/>
        </w:rPr>
      </w:pPr>
      <w:r w:rsidRPr="00A05119">
        <w:rPr>
          <w:rFonts w:ascii="Times New Roman" w:hAnsi="Times New Roman"/>
          <w:sz w:val="24"/>
          <w:szCs w:val="24"/>
        </w:rPr>
        <w:t xml:space="preserve">Prípadné ďalšie informácie je možné získať na tel. č. 02/52733800, e–mail: </w:t>
      </w:r>
      <w:hyperlink r:id="rId12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A05119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A05119">
        <w:rPr>
          <w:rFonts w:ascii="Times New Roman" w:hAnsi="Times New Roman"/>
          <w:sz w:val="24"/>
          <w:szCs w:val="24"/>
        </w:rPr>
        <w:t>Všetky informácie o adresách a telefónych číslach získate na</w:t>
      </w:r>
      <w:r w:rsidRPr="00A05119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3" w:history="1">
        <w:r w:rsidRPr="00A05119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A05119">
        <w:rPr>
          <w:rFonts w:ascii="Times New Roman" w:hAnsi="Times New Roman"/>
          <w:bCs/>
          <w:sz w:val="24"/>
          <w:szCs w:val="24"/>
          <w:u w:val="single"/>
        </w:rPr>
        <w:t>.</w:t>
      </w:r>
      <w:r w:rsidRPr="00A05119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A05119">
        <w:rPr>
          <w:rFonts w:ascii="Times New Roman" w:hAnsi="Times New Roman"/>
          <w:sz w:val="24"/>
          <w:szCs w:val="24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A05119">
        <w:rPr>
          <w:rFonts w:ascii="Times New Roman" w:hAnsi="Times New Roman"/>
          <w:sz w:val="24"/>
          <w:szCs w:val="24"/>
        </w:rPr>
        <w:t>12</w:t>
      </w:r>
      <w:r w:rsidRPr="00A05119">
        <w:rPr>
          <w:rFonts w:ascii="Times New Roman" w:hAnsi="Times New Roman"/>
          <w:sz w:val="24"/>
          <w:szCs w:val="24"/>
        </w:rPr>
        <w:t>, 815 26 Bratislava. PPA bude reagovať v zmysle zákona č. 211/2000 Z. z na otázky, na ktoré je možné odpovedať informáciami zverejnenými na webov</w:t>
      </w:r>
      <w:r w:rsidR="00C90BDC" w:rsidRPr="00A05119">
        <w:rPr>
          <w:rFonts w:ascii="Times New Roman" w:hAnsi="Times New Roman"/>
          <w:sz w:val="24"/>
          <w:szCs w:val="24"/>
        </w:rPr>
        <w:t>om sídle</w:t>
      </w:r>
      <w:r w:rsidRPr="00A05119">
        <w:rPr>
          <w:rFonts w:ascii="Times New Roman" w:hAnsi="Times New Roman"/>
          <w:sz w:val="24"/>
          <w:szCs w:val="24"/>
        </w:rPr>
        <w:t xml:space="preserve"> PPA len odkazmi na príslušné zverejnené dokumenty. V procese vyhodnocovania žiadostí PPA </w:t>
      </w:r>
      <w:r w:rsidRPr="00A05119">
        <w:rPr>
          <w:rFonts w:ascii="Times New Roman" w:hAnsi="Times New Roman"/>
          <w:b/>
          <w:sz w:val="24"/>
          <w:szCs w:val="24"/>
        </w:rPr>
        <w:t>neposkytne informácie</w:t>
      </w:r>
      <w:r w:rsidRPr="00A05119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A05119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</w:p>
    <w:p w:rsidR="00D86CDA" w:rsidRPr="00A05119" w:rsidRDefault="00D86CDA" w:rsidP="00D86CDA">
      <w:r w:rsidRPr="0049436B">
        <w:t xml:space="preserve">V Bratislave </w:t>
      </w:r>
      <w:r w:rsidR="00CD4FF7">
        <w:t>31</w:t>
      </w:r>
      <w:r w:rsidR="00ED7A81" w:rsidRPr="0049436B">
        <w:t>.</w:t>
      </w:r>
      <w:r w:rsidR="00CD4FF7">
        <w:t>01.2014</w:t>
      </w:r>
      <w:r w:rsidRPr="00A05119">
        <w:t xml:space="preserve">        </w:t>
      </w:r>
    </w:p>
    <w:p w:rsidR="00D86CDA" w:rsidRPr="00A05119" w:rsidRDefault="00D86CDA" w:rsidP="00D86CDA">
      <w:pPr>
        <w:pStyle w:val="Zarkazkladnhotextu2"/>
        <w:rPr>
          <w:sz w:val="24"/>
          <w:szCs w:val="24"/>
        </w:rPr>
      </w:pP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CD4FF7" w:rsidRDefault="00CD4FF7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3671B" w:rsidRPr="00A05119" w:rsidRDefault="0053671B" w:rsidP="007C12F4">
      <w:pPr>
        <w:tabs>
          <w:tab w:val="left" w:pos="5685"/>
        </w:tabs>
        <w:ind w:left="6372"/>
        <w:rPr>
          <w:b/>
          <w:bCs/>
          <w:noProof/>
        </w:rPr>
      </w:pPr>
    </w:p>
    <w:p w:rsidR="005F181F" w:rsidRDefault="0000218E" w:rsidP="00F66EED">
      <w:pPr>
        <w:tabs>
          <w:tab w:val="left" w:pos="5685"/>
        </w:tabs>
        <w:ind w:left="6372" w:hanging="276"/>
      </w:pPr>
      <w:r w:rsidRPr="00A05119">
        <w:rPr>
          <w:color w:val="000000"/>
        </w:rPr>
        <w:t>MVDr. Stanislav Grobár</w:t>
      </w:r>
      <w:r w:rsidRPr="00A05119">
        <w:t xml:space="preserve"> </w:t>
      </w:r>
      <w:r w:rsidR="007C12F4" w:rsidRPr="00A05119">
        <w:t>generálny riaditeľ</w:t>
      </w:r>
    </w:p>
    <w:p w:rsidR="00CD4FF7" w:rsidRDefault="00CD4FF7" w:rsidP="00F66EED">
      <w:pPr>
        <w:tabs>
          <w:tab w:val="left" w:pos="5685"/>
        </w:tabs>
        <w:ind w:left="6372" w:hanging="276"/>
      </w:pPr>
    </w:p>
    <w:p w:rsidR="00CD4FF7" w:rsidRDefault="00CD4FF7" w:rsidP="00F66EED">
      <w:pPr>
        <w:tabs>
          <w:tab w:val="left" w:pos="5685"/>
        </w:tabs>
        <w:ind w:left="6372" w:hanging="276"/>
      </w:pPr>
    </w:p>
    <w:p w:rsidR="00CD4FF7" w:rsidRDefault="00CD4FF7" w:rsidP="00F66EED">
      <w:pPr>
        <w:tabs>
          <w:tab w:val="left" w:pos="5685"/>
        </w:tabs>
        <w:ind w:left="6372" w:hanging="276"/>
      </w:pPr>
    </w:p>
    <w:sectPr w:rsidR="00CD4FF7" w:rsidSect="00D86CDA">
      <w:footerReference w:type="default" r:id="rId14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1518" w:rsidRDefault="00511518">
      <w:r>
        <w:separator/>
      </w:r>
    </w:p>
  </w:endnote>
  <w:endnote w:type="continuationSeparator" w:id="0">
    <w:p w:rsidR="00511518" w:rsidRDefault="00511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272F8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1518" w:rsidRDefault="00511518">
      <w:r>
        <w:separator/>
      </w:r>
    </w:p>
  </w:footnote>
  <w:footnote w:type="continuationSeparator" w:id="0">
    <w:p w:rsidR="00511518" w:rsidRDefault="005115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4E27CE1"/>
    <w:multiLevelType w:val="hybridMultilevel"/>
    <w:tmpl w:val="9772735A"/>
    <w:lvl w:ilvl="0" w:tplc="0EFAD9C8">
      <w:start w:val="1"/>
      <w:numFmt w:val="upperLetter"/>
      <w:lvlText w:val="%1"/>
      <w:lvlJc w:val="left"/>
      <w:pPr>
        <w:ind w:left="644" w:hanging="360"/>
      </w:pPr>
      <w:rPr>
        <w:rFonts w:ascii="Times New Roman" w:hAnsi="Times New Roman" w:cs="Times New Roman" w:hint="default"/>
        <w:cap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77B36FF"/>
    <w:multiLevelType w:val="hybridMultilevel"/>
    <w:tmpl w:val="515A59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34A77"/>
    <w:multiLevelType w:val="hybridMultilevel"/>
    <w:tmpl w:val="11C63F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DD1CAE"/>
    <w:multiLevelType w:val="hybridMultilevel"/>
    <w:tmpl w:val="6F44EF88"/>
    <w:lvl w:ilvl="0" w:tplc="D98C7E6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12643833"/>
    <w:multiLevelType w:val="hybridMultilevel"/>
    <w:tmpl w:val="B770C8DC"/>
    <w:lvl w:ilvl="0" w:tplc="9B60323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3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109C3"/>
    <w:multiLevelType w:val="hybridMultilevel"/>
    <w:tmpl w:val="4E6C1E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CB3AE5"/>
    <w:multiLevelType w:val="hybridMultilevel"/>
    <w:tmpl w:val="668C7896"/>
    <w:lvl w:ilvl="0" w:tplc="2D78AC5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BD6830"/>
    <w:multiLevelType w:val="hybridMultilevel"/>
    <w:tmpl w:val="B2AE6E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25" w15:restartNumberingAfterBreak="0">
    <w:nsid w:val="43EE4E11"/>
    <w:multiLevelType w:val="hybridMultilevel"/>
    <w:tmpl w:val="7848FB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61A15C0"/>
    <w:multiLevelType w:val="hybridMultilevel"/>
    <w:tmpl w:val="19D8F3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EE34C0"/>
    <w:multiLevelType w:val="hybridMultilevel"/>
    <w:tmpl w:val="DEE4547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862457"/>
    <w:multiLevelType w:val="hybridMultilevel"/>
    <w:tmpl w:val="C75E0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E11288"/>
    <w:multiLevelType w:val="hybridMultilevel"/>
    <w:tmpl w:val="5E845FE0"/>
    <w:lvl w:ilvl="0" w:tplc="041B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649E5930"/>
    <w:multiLevelType w:val="hybridMultilevel"/>
    <w:tmpl w:val="8EA6DEFC"/>
    <w:lvl w:ilvl="0" w:tplc="ECCE55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1220D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572133"/>
    <w:multiLevelType w:val="hybridMultilevel"/>
    <w:tmpl w:val="389C15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D40E3C"/>
    <w:multiLevelType w:val="hybridMultilevel"/>
    <w:tmpl w:val="98AA43E8"/>
    <w:lvl w:ilvl="0" w:tplc="CD12A4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C71523"/>
    <w:multiLevelType w:val="hybridMultilevel"/>
    <w:tmpl w:val="D144BEB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A12692B"/>
    <w:multiLevelType w:val="hybridMultilevel"/>
    <w:tmpl w:val="DAFE044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44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5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23"/>
  </w:num>
  <w:num w:numId="2">
    <w:abstractNumId w:val="25"/>
  </w:num>
  <w:num w:numId="3">
    <w:abstractNumId w:val="36"/>
  </w:num>
  <w:num w:numId="4">
    <w:abstractNumId w:val="20"/>
  </w:num>
  <w:num w:numId="5">
    <w:abstractNumId w:val="45"/>
  </w:num>
  <w:num w:numId="6">
    <w:abstractNumId w:val="26"/>
  </w:num>
  <w:num w:numId="7">
    <w:abstractNumId w:val="3"/>
  </w:num>
  <w:num w:numId="8">
    <w:abstractNumId w:val="30"/>
  </w:num>
  <w:num w:numId="9">
    <w:abstractNumId w:val="6"/>
  </w:num>
  <w:num w:numId="10">
    <w:abstractNumId w:val="37"/>
  </w:num>
  <w:num w:numId="11">
    <w:abstractNumId w:val="2"/>
  </w:num>
  <w:num w:numId="12">
    <w:abstractNumId w:val="10"/>
  </w:num>
  <w:num w:numId="13">
    <w:abstractNumId w:val="11"/>
  </w:num>
  <w:num w:numId="14">
    <w:abstractNumId w:val="24"/>
  </w:num>
  <w:num w:numId="15">
    <w:abstractNumId w:val="36"/>
  </w:num>
  <w:num w:numId="16">
    <w:abstractNumId w:val="31"/>
  </w:num>
  <w:num w:numId="17">
    <w:abstractNumId w:val="14"/>
  </w:num>
  <w:num w:numId="18">
    <w:abstractNumId w:val="4"/>
  </w:num>
  <w:num w:numId="19">
    <w:abstractNumId w:val="41"/>
  </w:num>
  <w:num w:numId="20">
    <w:abstractNumId w:val="44"/>
  </w:num>
  <w:num w:numId="21">
    <w:abstractNumId w:val="17"/>
  </w:num>
  <w:num w:numId="22">
    <w:abstractNumId w:val="13"/>
  </w:num>
  <w:num w:numId="23">
    <w:abstractNumId w:val="0"/>
  </w:num>
  <w:num w:numId="24">
    <w:abstractNumId w:val="12"/>
  </w:num>
  <w:num w:numId="25">
    <w:abstractNumId w:val="22"/>
  </w:num>
  <w:num w:numId="26">
    <w:abstractNumId w:val="39"/>
  </w:num>
  <w:num w:numId="27">
    <w:abstractNumId w:val="43"/>
  </w:num>
  <w:num w:numId="28">
    <w:abstractNumId w:val="5"/>
  </w:num>
  <w:num w:numId="29">
    <w:abstractNumId w:val="33"/>
  </w:num>
  <w:num w:numId="30">
    <w:abstractNumId w:val="21"/>
  </w:num>
  <w:num w:numId="31">
    <w:abstractNumId w:val="1"/>
  </w:num>
  <w:num w:numId="32">
    <w:abstractNumId w:val="8"/>
  </w:num>
  <w:num w:numId="33">
    <w:abstractNumId w:val="27"/>
  </w:num>
  <w:num w:numId="34">
    <w:abstractNumId w:val="32"/>
  </w:num>
  <w:num w:numId="35">
    <w:abstractNumId w:val="29"/>
  </w:num>
  <w:num w:numId="36">
    <w:abstractNumId w:val="7"/>
  </w:num>
  <w:num w:numId="37">
    <w:abstractNumId w:val="34"/>
  </w:num>
  <w:num w:numId="38">
    <w:abstractNumId w:val="35"/>
  </w:num>
  <w:num w:numId="39">
    <w:abstractNumId w:val="16"/>
  </w:num>
  <w:num w:numId="40">
    <w:abstractNumId w:val="18"/>
  </w:num>
  <w:num w:numId="41">
    <w:abstractNumId w:val="19"/>
  </w:num>
  <w:num w:numId="42">
    <w:abstractNumId w:val="15"/>
  </w:num>
  <w:num w:numId="43">
    <w:abstractNumId w:val="42"/>
  </w:num>
  <w:num w:numId="4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9"/>
  </w:num>
  <w:num w:numId="46">
    <w:abstractNumId w:val="28"/>
  </w:num>
  <w:num w:numId="47">
    <w:abstractNumId w:val="3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07D2E"/>
    <w:rsid w:val="000264C7"/>
    <w:rsid w:val="000265AD"/>
    <w:rsid w:val="000265F7"/>
    <w:rsid w:val="00030046"/>
    <w:rsid w:val="00055E3F"/>
    <w:rsid w:val="00064F1A"/>
    <w:rsid w:val="00071B5B"/>
    <w:rsid w:val="00072C56"/>
    <w:rsid w:val="000749FB"/>
    <w:rsid w:val="0008092C"/>
    <w:rsid w:val="000811FF"/>
    <w:rsid w:val="00091963"/>
    <w:rsid w:val="000A02C9"/>
    <w:rsid w:val="000B11D3"/>
    <w:rsid w:val="000B4798"/>
    <w:rsid w:val="000B657F"/>
    <w:rsid w:val="000D2E70"/>
    <w:rsid w:val="000E0107"/>
    <w:rsid w:val="000E31C3"/>
    <w:rsid w:val="000E6C81"/>
    <w:rsid w:val="000F48C4"/>
    <w:rsid w:val="000F49B2"/>
    <w:rsid w:val="00100FE4"/>
    <w:rsid w:val="001023F8"/>
    <w:rsid w:val="00107A18"/>
    <w:rsid w:val="00111A2C"/>
    <w:rsid w:val="001272F8"/>
    <w:rsid w:val="00127E9E"/>
    <w:rsid w:val="00131CCA"/>
    <w:rsid w:val="00132173"/>
    <w:rsid w:val="001444B5"/>
    <w:rsid w:val="00145CE3"/>
    <w:rsid w:val="001460CD"/>
    <w:rsid w:val="00155F7C"/>
    <w:rsid w:val="00171A55"/>
    <w:rsid w:val="00184EE9"/>
    <w:rsid w:val="00185BA9"/>
    <w:rsid w:val="00185E89"/>
    <w:rsid w:val="001929B7"/>
    <w:rsid w:val="001A4B20"/>
    <w:rsid w:val="001B6378"/>
    <w:rsid w:val="001D6856"/>
    <w:rsid w:val="00201B6E"/>
    <w:rsid w:val="0020287E"/>
    <w:rsid w:val="00215FEE"/>
    <w:rsid w:val="00225AFF"/>
    <w:rsid w:val="002402B2"/>
    <w:rsid w:val="00241FDD"/>
    <w:rsid w:val="0025446E"/>
    <w:rsid w:val="00256DBB"/>
    <w:rsid w:val="00257FE5"/>
    <w:rsid w:val="002636DC"/>
    <w:rsid w:val="00284ED4"/>
    <w:rsid w:val="00290917"/>
    <w:rsid w:val="002A22A0"/>
    <w:rsid w:val="002A448C"/>
    <w:rsid w:val="002C0D4D"/>
    <w:rsid w:val="002D4845"/>
    <w:rsid w:val="002E0AE5"/>
    <w:rsid w:val="002F2245"/>
    <w:rsid w:val="002F33FB"/>
    <w:rsid w:val="002F3AF0"/>
    <w:rsid w:val="003052C9"/>
    <w:rsid w:val="003164C7"/>
    <w:rsid w:val="00322A4A"/>
    <w:rsid w:val="00325E24"/>
    <w:rsid w:val="00340EAF"/>
    <w:rsid w:val="00341CA6"/>
    <w:rsid w:val="00342255"/>
    <w:rsid w:val="00347365"/>
    <w:rsid w:val="00347CFE"/>
    <w:rsid w:val="00356D18"/>
    <w:rsid w:val="0036076C"/>
    <w:rsid w:val="00366C23"/>
    <w:rsid w:val="00385344"/>
    <w:rsid w:val="00393CEF"/>
    <w:rsid w:val="00395412"/>
    <w:rsid w:val="003A0B44"/>
    <w:rsid w:val="003C1880"/>
    <w:rsid w:val="003E2E0D"/>
    <w:rsid w:val="003E72F9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64EB6"/>
    <w:rsid w:val="0048155C"/>
    <w:rsid w:val="00482588"/>
    <w:rsid w:val="0049436B"/>
    <w:rsid w:val="004B20C9"/>
    <w:rsid w:val="004B6BDE"/>
    <w:rsid w:val="004E3D40"/>
    <w:rsid w:val="005024AF"/>
    <w:rsid w:val="00510471"/>
    <w:rsid w:val="00511518"/>
    <w:rsid w:val="00516777"/>
    <w:rsid w:val="00521F14"/>
    <w:rsid w:val="00526169"/>
    <w:rsid w:val="0053671B"/>
    <w:rsid w:val="00545B8E"/>
    <w:rsid w:val="005538D1"/>
    <w:rsid w:val="00560B46"/>
    <w:rsid w:val="00561C9B"/>
    <w:rsid w:val="005622C0"/>
    <w:rsid w:val="00563637"/>
    <w:rsid w:val="00565C46"/>
    <w:rsid w:val="00577E82"/>
    <w:rsid w:val="00581D9D"/>
    <w:rsid w:val="00582051"/>
    <w:rsid w:val="005A2738"/>
    <w:rsid w:val="005A3087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45ED"/>
    <w:rsid w:val="00613535"/>
    <w:rsid w:val="00617EC2"/>
    <w:rsid w:val="006345D1"/>
    <w:rsid w:val="00634AF7"/>
    <w:rsid w:val="00655063"/>
    <w:rsid w:val="00661409"/>
    <w:rsid w:val="00671336"/>
    <w:rsid w:val="006932F9"/>
    <w:rsid w:val="006D5C98"/>
    <w:rsid w:val="006E22C7"/>
    <w:rsid w:val="006E7CB1"/>
    <w:rsid w:val="006F4D83"/>
    <w:rsid w:val="006F54A8"/>
    <w:rsid w:val="006F623F"/>
    <w:rsid w:val="0070642D"/>
    <w:rsid w:val="007108A3"/>
    <w:rsid w:val="007124F3"/>
    <w:rsid w:val="007157F2"/>
    <w:rsid w:val="00716E52"/>
    <w:rsid w:val="00720CE4"/>
    <w:rsid w:val="007373ED"/>
    <w:rsid w:val="0074134E"/>
    <w:rsid w:val="00742958"/>
    <w:rsid w:val="00742D7E"/>
    <w:rsid w:val="00744930"/>
    <w:rsid w:val="00757339"/>
    <w:rsid w:val="007578BC"/>
    <w:rsid w:val="00760F18"/>
    <w:rsid w:val="00770910"/>
    <w:rsid w:val="0078738E"/>
    <w:rsid w:val="00790B51"/>
    <w:rsid w:val="00796670"/>
    <w:rsid w:val="007B071B"/>
    <w:rsid w:val="007B1626"/>
    <w:rsid w:val="007B4A3F"/>
    <w:rsid w:val="007C12F4"/>
    <w:rsid w:val="007C1E34"/>
    <w:rsid w:val="007D01EC"/>
    <w:rsid w:val="007D720E"/>
    <w:rsid w:val="00803048"/>
    <w:rsid w:val="00812A1F"/>
    <w:rsid w:val="008251CA"/>
    <w:rsid w:val="00846E75"/>
    <w:rsid w:val="00846F0B"/>
    <w:rsid w:val="00847397"/>
    <w:rsid w:val="0085458E"/>
    <w:rsid w:val="00866523"/>
    <w:rsid w:val="008769D3"/>
    <w:rsid w:val="00877492"/>
    <w:rsid w:val="008831B4"/>
    <w:rsid w:val="00894CBF"/>
    <w:rsid w:val="008A0B27"/>
    <w:rsid w:val="008A3989"/>
    <w:rsid w:val="008B0562"/>
    <w:rsid w:val="008D72F0"/>
    <w:rsid w:val="008F2890"/>
    <w:rsid w:val="008F3F01"/>
    <w:rsid w:val="009424D6"/>
    <w:rsid w:val="009454DC"/>
    <w:rsid w:val="00946B52"/>
    <w:rsid w:val="0097206A"/>
    <w:rsid w:val="009742CB"/>
    <w:rsid w:val="00980184"/>
    <w:rsid w:val="009A6EEF"/>
    <w:rsid w:val="009A7F54"/>
    <w:rsid w:val="009B47F4"/>
    <w:rsid w:val="009C1F5B"/>
    <w:rsid w:val="009E2543"/>
    <w:rsid w:val="009F0BD8"/>
    <w:rsid w:val="009F20B7"/>
    <w:rsid w:val="009F6F39"/>
    <w:rsid w:val="00A04EE3"/>
    <w:rsid w:val="00A05119"/>
    <w:rsid w:val="00A0538F"/>
    <w:rsid w:val="00A30ABB"/>
    <w:rsid w:val="00A31713"/>
    <w:rsid w:val="00A31E99"/>
    <w:rsid w:val="00A35B47"/>
    <w:rsid w:val="00A3758C"/>
    <w:rsid w:val="00A46CB5"/>
    <w:rsid w:val="00A55204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B6588"/>
    <w:rsid w:val="00AF1898"/>
    <w:rsid w:val="00AF1A6A"/>
    <w:rsid w:val="00AF1AA5"/>
    <w:rsid w:val="00B10E09"/>
    <w:rsid w:val="00B16B15"/>
    <w:rsid w:val="00B2127F"/>
    <w:rsid w:val="00B22960"/>
    <w:rsid w:val="00B2391A"/>
    <w:rsid w:val="00B3392D"/>
    <w:rsid w:val="00B359AB"/>
    <w:rsid w:val="00B44EE4"/>
    <w:rsid w:val="00B5088F"/>
    <w:rsid w:val="00B655F1"/>
    <w:rsid w:val="00B74F1A"/>
    <w:rsid w:val="00B94621"/>
    <w:rsid w:val="00BA1FA6"/>
    <w:rsid w:val="00BA5DC9"/>
    <w:rsid w:val="00BC1D05"/>
    <w:rsid w:val="00BC4386"/>
    <w:rsid w:val="00BC6CC1"/>
    <w:rsid w:val="00BD0E9D"/>
    <w:rsid w:val="00BE5DAB"/>
    <w:rsid w:val="00BF7B89"/>
    <w:rsid w:val="00C01E5C"/>
    <w:rsid w:val="00C06CC3"/>
    <w:rsid w:val="00C126E8"/>
    <w:rsid w:val="00C135E8"/>
    <w:rsid w:val="00C21348"/>
    <w:rsid w:val="00C45FA0"/>
    <w:rsid w:val="00C504D8"/>
    <w:rsid w:val="00C649D6"/>
    <w:rsid w:val="00C7262F"/>
    <w:rsid w:val="00C822DC"/>
    <w:rsid w:val="00C8538C"/>
    <w:rsid w:val="00C90BDC"/>
    <w:rsid w:val="00C928F0"/>
    <w:rsid w:val="00C97167"/>
    <w:rsid w:val="00C9774F"/>
    <w:rsid w:val="00CA61DB"/>
    <w:rsid w:val="00CB36B7"/>
    <w:rsid w:val="00CB65FF"/>
    <w:rsid w:val="00CC1095"/>
    <w:rsid w:val="00CC6CD6"/>
    <w:rsid w:val="00CD0363"/>
    <w:rsid w:val="00CD138B"/>
    <w:rsid w:val="00CD4FF7"/>
    <w:rsid w:val="00CD6AB1"/>
    <w:rsid w:val="00D01E8F"/>
    <w:rsid w:val="00D03415"/>
    <w:rsid w:val="00D13340"/>
    <w:rsid w:val="00D23907"/>
    <w:rsid w:val="00D26E03"/>
    <w:rsid w:val="00D43DAE"/>
    <w:rsid w:val="00D52962"/>
    <w:rsid w:val="00D54780"/>
    <w:rsid w:val="00D6147E"/>
    <w:rsid w:val="00D6528A"/>
    <w:rsid w:val="00D72543"/>
    <w:rsid w:val="00D822E8"/>
    <w:rsid w:val="00D847AB"/>
    <w:rsid w:val="00D86CDA"/>
    <w:rsid w:val="00D87209"/>
    <w:rsid w:val="00D942EB"/>
    <w:rsid w:val="00D94F47"/>
    <w:rsid w:val="00DA7602"/>
    <w:rsid w:val="00DA7C7E"/>
    <w:rsid w:val="00DB14F1"/>
    <w:rsid w:val="00DB6783"/>
    <w:rsid w:val="00DD17C8"/>
    <w:rsid w:val="00DD2441"/>
    <w:rsid w:val="00DD3FD8"/>
    <w:rsid w:val="00DE1226"/>
    <w:rsid w:val="00DE3D54"/>
    <w:rsid w:val="00DF0310"/>
    <w:rsid w:val="00DF6015"/>
    <w:rsid w:val="00DF64E2"/>
    <w:rsid w:val="00DF7C5C"/>
    <w:rsid w:val="00E20EB9"/>
    <w:rsid w:val="00E27381"/>
    <w:rsid w:val="00E352B1"/>
    <w:rsid w:val="00E615F4"/>
    <w:rsid w:val="00E638B7"/>
    <w:rsid w:val="00E66254"/>
    <w:rsid w:val="00E71D88"/>
    <w:rsid w:val="00E76E35"/>
    <w:rsid w:val="00E77CFC"/>
    <w:rsid w:val="00E807F1"/>
    <w:rsid w:val="00E86357"/>
    <w:rsid w:val="00E91A92"/>
    <w:rsid w:val="00EA11E1"/>
    <w:rsid w:val="00EA1C74"/>
    <w:rsid w:val="00EA4B91"/>
    <w:rsid w:val="00EC5F67"/>
    <w:rsid w:val="00ED7A81"/>
    <w:rsid w:val="00EE2DFB"/>
    <w:rsid w:val="00EE6FA2"/>
    <w:rsid w:val="00EF74EA"/>
    <w:rsid w:val="00F02E52"/>
    <w:rsid w:val="00F0435B"/>
    <w:rsid w:val="00F10DC2"/>
    <w:rsid w:val="00F14483"/>
    <w:rsid w:val="00F144EC"/>
    <w:rsid w:val="00F14E8F"/>
    <w:rsid w:val="00F53F87"/>
    <w:rsid w:val="00F55610"/>
    <w:rsid w:val="00F62D11"/>
    <w:rsid w:val="00F66EED"/>
    <w:rsid w:val="00F8402B"/>
    <w:rsid w:val="00F85CAA"/>
    <w:rsid w:val="00F90888"/>
    <w:rsid w:val="00FB15EB"/>
    <w:rsid w:val="00FB429B"/>
    <w:rsid w:val="00FC626B"/>
    <w:rsid w:val="00FE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0267D530-7691-4D1F-B01D-03A4AE223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90B51"/>
    <w:pPr>
      <w:spacing w:after="0"/>
    </w:pPr>
    <w:rPr>
      <w:b/>
      <w:bCs/>
      <w:lang w:eastAsia="sk-SK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90B51"/>
    <w:rPr>
      <w:rFonts w:eastAsia="Times New Roman"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92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p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elmira.milkova@apa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andt.posta.sk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9ABC5-BE70-44CF-877E-46FDEB061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3725</Words>
  <Characters>21235</Characters>
  <Application>Microsoft Office Word</Application>
  <DocSecurity>0</DocSecurity>
  <Lines>176</Lines>
  <Paragraphs>49</Paragraphs>
  <ScaleCrop>false</ScaleCrop>
  <Company>.</Company>
  <LinksUpToDate>false</LinksUpToDate>
  <CharactersWithSpaces>24911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2013-08-21T09:31:00Z</cp:lastPrinted>
  <dcterms:created xsi:type="dcterms:W3CDTF">2018-04-16T08:28:00Z</dcterms:created>
  <dcterms:modified xsi:type="dcterms:W3CDTF">2018-04-16T08:28:00Z</dcterms:modified>
</cp:coreProperties>
</file>