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5D8B" w:rsidRPr="007F5B6A" w:rsidRDefault="00663CED" w:rsidP="00112D54">
      <w:pPr>
        <w:widowControl/>
        <w:spacing w:after="0" w:line="240" w:lineRule="auto"/>
        <w:jc w:val="center"/>
        <w:rPr>
          <w:rFonts w:ascii="Times New Roman" w:hAnsi="Times New Roman"/>
          <w:b/>
          <w:caps/>
          <w:sz w:val="20"/>
          <w:szCs w:val="20"/>
          <w:lang w:val="sk-SK"/>
        </w:rPr>
      </w:pPr>
      <w:bookmarkStart w:id="0" w:name="_GoBack"/>
      <w:bookmarkEnd w:id="0"/>
      <w:r w:rsidRPr="007F5B6A">
        <w:rPr>
          <w:rFonts w:ascii="Times New Roman" w:hAnsi="Times New Roman"/>
          <w:b/>
          <w:caps/>
          <w:sz w:val="20"/>
          <w:szCs w:val="20"/>
          <w:lang w:val="sk-SK"/>
        </w:rPr>
        <w:t xml:space="preserve">VYHODNOTENIE </w:t>
      </w:r>
      <w:r w:rsidR="00492543" w:rsidRPr="007F5B6A">
        <w:rPr>
          <w:rFonts w:ascii="Times New Roman" w:hAnsi="Times New Roman"/>
          <w:b/>
          <w:caps/>
          <w:sz w:val="20"/>
          <w:szCs w:val="20"/>
          <w:lang w:val="sk-SK"/>
        </w:rPr>
        <w:t>Pripomien</w:t>
      </w:r>
      <w:r w:rsidR="00E91F7C" w:rsidRPr="007F5B6A">
        <w:rPr>
          <w:rFonts w:ascii="Times New Roman" w:hAnsi="Times New Roman"/>
          <w:b/>
          <w:caps/>
          <w:sz w:val="20"/>
          <w:szCs w:val="20"/>
          <w:lang w:val="sk-SK"/>
        </w:rPr>
        <w:t>o</w:t>
      </w:r>
      <w:r w:rsidR="00492543" w:rsidRPr="007F5B6A">
        <w:rPr>
          <w:rFonts w:ascii="Times New Roman" w:hAnsi="Times New Roman"/>
          <w:b/>
          <w:caps/>
          <w:sz w:val="20"/>
          <w:szCs w:val="20"/>
          <w:lang w:val="sk-SK"/>
        </w:rPr>
        <w:t>k</w:t>
      </w:r>
      <w:r w:rsidR="006B5540" w:rsidRPr="007F5B6A">
        <w:rPr>
          <w:rFonts w:ascii="Times New Roman" w:hAnsi="Times New Roman"/>
          <w:b/>
          <w:caps/>
          <w:sz w:val="20"/>
          <w:szCs w:val="20"/>
          <w:lang w:val="sk-SK"/>
        </w:rPr>
        <w:t xml:space="preserve"> EK</w:t>
      </w:r>
      <w:r w:rsidR="00962A0F" w:rsidRPr="007F5B6A">
        <w:rPr>
          <w:rFonts w:ascii="Times New Roman" w:hAnsi="Times New Roman"/>
          <w:b/>
          <w:caps/>
          <w:sz w:val="20"/>
          <w:szCs w:val="20"/>
          <w:lang w:val="sk-SK"/>
        </w:rPr>
        <w:t xml:space="preserve"> k</w:t>
      </w:r>
      <w:r w:rsidR="00E91F7C" w:rsidRPr="007F5B6A">
        <w:rPr>
          <w:rFonts w:ascii="Times New Roman" w:hAnsi="Times New Roman"/>
          <w:b/>
          <w:caps/>
          <w:sz w:val="20"/>
          <w:szCs w:val="20"/>
          <w:lang w:val="sk-SK"/>
        </w:rPr>
        <w:t xml:space="preserve"> návrhu </w:t>
      </w:r>
      <w:r w:rsidR="00962A0F" w:rsidRPr="007F5B6A">
        <w:rPr>
          <w:rFonts w:ascii="Times New Roman" w:hAnsi="Times New Roman"/>
          <w:b/>
          <w:caps/>
          <w:sz w:val="20"/>
          <w:szCs w:val="20"/>
          <w:lang w:val="sk-SK"/>
        </w:rPr>
        <w:t>PRV SR 2014-2020</w:t>
      </w:r>
      <w:r w:rsidR="00B72646" w:rsidRPr="007F5B6A">
        <w:rPr>
          <w:rFonts w:ascii="Times New Roman" w:hAnsi="Times New Roman"/>
          <w:b/>
          <w:caps/>
          <w:sz w:val="20"/>
          <w:szCs w:val="20"/>
          <w:lang w:val="sk-SK"/>
        </w:rPr>
        <w:t xml:space="preserve"> (PRV)</w:t>
      </w:r>
      <w:r w:rsidR="00492543" w:rsidRPr="007F5B6A">
        <w:rPr>
          <w:rFonts w:ascii="Times New Roman" w:hAnsi="Times New Roman"/>
          <w:b/>
          <w:caps/>
          <w:sz w:val="20"/>
          <w:szCs w:val="20"/>
          <w:lang w:val="sk-SK"/>
        </w:rPr>
        <w:t xml:space="preserve"> </w:t>
      </w:r>
    </w:p>
    <w:p w:rsidR="00112D54" w:rsidRPr="007F5B6A" w:rsidRDefault="00112D54" w:rsidP="00112D54">
      <w:pPr>
        <w:widowControl/>
        <w:spacing w:after="0" w:line="240" w:lineRule="auto"/>
        <w:rPr>
          <w:rFonts w:ascii="Times New Roman" w:hAnsi="Times New Roman"/>
          <w:sz w:val="20"/>
          <w:szCs w:val="20"/>
          <w:lang w:val="sk-SK"/>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5"/>
        <w:gridCol w:w="8506"/>
        <w:gridCol w:w="850"/>
        <w:gridCol w:w="4323"/>
      </w:tblGrid>
      <w:tr w:rsidR="00E91F7C" w:rsidRPr="007F5B6A" w:rsidTr="00D877AC">
        <w:trPr>
          <w:tblHeader/>
        </w:trPr>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P. č.</w:t>
            </w:r>
          </w:p>
        </w:tc>
        <w:tc>
          <w:tcPr>
            <w:tcW w:w="2963"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Pripomienka</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Vyh.</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Odôvodnenie vyhodnotenia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SK RDP 2014-2020 includes all six European Union Rural Development priorities, 18 Focus Areas (FAs) plus one additional FA for forestry, all the measures apart from M03, and 42 sub-measures. However, the EAFRD allocation has decreased from EUR 2 to 1.5 billion compared with 2007-2013, primarily due to the transfer of funds into the 1st Pillar. In view of these facts, the Commission recalls the need for concentration of the funds on interventions that bring the greatest added value in relation to growth and jobs and simplification of the RDP. In particular the SK MA is invited to reconsider the worthiness of programming some measures/sub-measures or types of operations which are not or are weakly justified in the SWOT analysis, with low financial allocation and complex implementation and control procedures, or which can be easily replaced by similar actions financed nationally, or falling under the main scope of other European Structural and Investment Funds' programmes.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 xml:space="preserve">A </w:t>
            </w:r>
          </w:p>
        </w:tc>
        <w:tc>
          <w:tcPr>
            <w:tcW w:w="1506" w:type="pct"/>
            <w:shd w:val="clear" w:color="auto" w:fill="FFFFFF" w:themeFill="background1"/>
            <w:vAlign w:val="center"/>
          </w:tcPr>
          <w:p w:rsidR="00B72646" w:rsidRPr="007F5B6A" w:rsidRDefault="00B72646"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SR prehodnotila vhodnosť viacerých opatrení/podopatrení/operácií a v zmysle toho upravila návrh PRV.</w:t>
            </w:r>
          </w:p>
          <w:p w:rsidR="00E91F7C" w:rsidRPr="007F5B6A" w:rsidRDefault="00E91F7C" w:rsidP="001F57B0">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Viď pripomienku 2 písmena A, B, C, D, E, F</w:t>
            </w:r>
            <w:r w:rsidR="00404F1F" w:rsidRPr="007F5B6A">
              <w:rPr>
                <w:rFonts w:ascii="Times New Roman" w:hAnsi="Times New Roman"/>
                <w:sz w:val="20"/>
                <w:szCs w:val="20"/>
                <w:lang w:val="sk-SK"/>
              </w:rPr>
              <w:t>.</w:t>
            </w:r>
          </w:p>
        </w:tc>
      </w:tr>
      <w:tr w:rsidR="00862CEA" w:rsidRPr="007F5B6A" w:rsidTr="00D877AC">
        <w:tc>
          <w:tcPr>
            <w:tcW w:w="235" w:type="pct"/>
            <w:vMerge w:val="restar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examples of simplification for individual measures are hereby submitted for the consideration of Slovakia: </w:t>
            </w:r>
          </w:p>
          <w:p w:rsidR="00E91F7C" w:rsidRPr="007F5B6A" w:rsidRDefault="00E91F7C" w:rsidP="00975BC8">
            <w:pPr>
              <w:widowControl/>
              <w:numPr>
                <w:ilvl w:val="0"/>
                <w:numId w:val="1"/>
              </w:numPr>
              <w:tabs>
                <w:tab w:val="left" w:pos="34"/>
              </w:tabs>
              <w:adjustRightInd/>
              <w:spacing w:after="0" w:line="240" w:lineRule="auto"/>
              <w:ind w:left="0"/>
              <w:jc w:val="both"/>
              <w:rPr>
                <w:rFonts w:ascii="Times New Roman" w:hAnsi="Times New Roman"/>
                <w:sz w:val="20"/>
                <w:szCs w:val="20"/>
                <w:lang w:val="en-GB"/>
              </w:rPr>
            </w:pPr>
            <w:r w:rsidRPr="007F5B6A">
              <w:rPr>
                <w:rFonts w:ascii="Times New Roman" w:hAnsi="Times New Roman"/>
                <w:b/>
                <w:sz w:val="20"/>
                <w:szCs w:val="20"/>
                <w:lang w:val="en-GB"/>
              </w:rPr>
              <w:t>A)</w:t>
            </w:r>
            <w:r w:rsidRPr="007F5B6A">
              <w:rPr>
                <w:rFonts w:ascii="Times New Roman" w:hAnsi="Times New Roman"/>
                <w:sz w:val="20"/>
                <w:szCs w:val="20"/>
                <w:lang w:val="en-GB"/>
              </w:rPr>
              <w:t xml:space="preserve"> Measure 04 contains 9 types of operations which are sometimes mixed or redundant. An improved targeting in line with SWOT would allow concentrating on restructuring and diversification of agricultural production with a substantially reduced number of operations.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345972" w:rsidP="00EF0E5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Počet operácií bol znížený z 9 na 5. Pričom Operácie A, B a C boli združené do jednej operácie s názvom „Investície do hmotného majetku prispievajúce k zlepšeniu konkurencieschopnosti, využívania vody a OZE v poľnohospodárstve“ a operácie D a E boli združené do operácie s názvom „Investície do spracovania, uvádzania na trh, vývoja poľnohosp. výrobkov a prispievajúce k úsporám energetickej spotreby“;</w:t>
            </w:r>
          </w:p>
        </w:tc>
      </w:tr>
      <w:tr w:rsidR="00862CEA" w:rsidRPr="007F5B6A" w:rsidTr="00D877AC">
        <w:tc>
          <w:tcPr>
            <w:tcW w:w="235" w:type="pct"/>
            <w:vMerge/>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examples of simplification for individual measures are hereby submitted for the consideration of Slovakia: </w:t>
            </w:r>
          </w:p>
          <w:p w:rsidR="00E91F7C" w:rsidRPr="007F5B6A" w:rsidRDefault="00E91F7C" w:rsidP="00975BC8">
            <w:pPr>
              <w:widowControl/>
              <w:numPr>
                <w:ilvl w:val="0"/>
                <w:numId w:val="1"/>
              </w:numPr>
              <w:adjustRightInd/>
              <w:spacing w:after="0" w:line="240" w:lineRule="auto"/>
              <w:ind w:left="0"/>
              <w:jc w:val="both"/>
              <w:rPr>
                <w:rFonts w:ascii="Times New Roman" w:hAnsi="Times New Roman"/>
                <w:sz w:val="20"/>
                <w:szCs w:val="20"/>
                <w:lang w:val="en-GB"/>
              </w:rPr>
            </w:pPr>
            <w:r w:rsidRPr="007F5B6A">
              <w:rPr>
                <w:rFonts w:ascii="Times New Roman" w:hAnsi="Times New Roman"/>
                <w:b/>
                <w:sz w:val="20"/>
                <w:szCs w:val="20"/>
                <w:lang w:val="en-GB"/>
              </w:rPr>
              <w:t xml:space="preserve"> B)</w:t>
            </w:r>
            <w:r w:rsidRPr="007F5B6A">
              <w:rPr>
                <w:rFonts w:ascii="Times New Roman" w:hAnsi="Times New Roman"/>
                <w:sz w:val="20"/>
                <w:szCs w:val="20"/>
                <w:lang w:val="en-GB"/>
              </w:rPr>
              <w:t xml:space="preserve">  Measure 7 includes 5 sub-measures or type of operations which could be easily streamlined. Single investments for energy efficiency and RES are stand-alone actions already prioritized by other ESI funds, under the Operational Programme on Quality of the Environment (OP QE) and Integrated Regional OP (IROP).</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C5676A">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Operácia pre OZE v rámci podopatrenia 7.2 je odstránená, investície</w:t>
            </w:r>
            <w:r w:rsidR="00C5676A" w:rsidRPr="007F5B6A">
              <w:rPr>
                <w:rFonts w:ascii="Times New Roman" w:hAnsi="Times New Roman"/>
                <w:sz w:val="20"/>
                <w:szCs w:val="20"/>
                <w:lang w:val="sk-SK"/>
              </w:rPr>
              <w:t>/náklady</w:t>
            </w:r>
            <w:r w:rsidRPr="007F5B6A">
              <w:rPr>
                <w:rFonts w:ascii="Times New Roman" w:hAnsi="Times New Roman"/>
                <w:sz w:val="20"/>
                <w:szCs w:val="20"/>
                <w:lang w:val="sk-SK"/>
              </w:rPr>
              <w:t xml:space="preserve"> do OZE sú navrhované ako súčasť investícií v rámci podopatrenia 7.4</w:t>
            </w:r>
            <w:r w:rsidR="00C5676A" w:rsidRPr="007F5B6A">
              <w:rPr>
                <w:rFonts w:ascii="Times New Roman" w:hAnsi="Times New Roman"/>
                <w:sz w:val="20"/>
                <w:szCs w:val="20"/>
                <w:lang w:val="sk-SK"/>
              </w:rPr>
              <w:t>.</w:t>
            </w:r>
          </w:p>
        </w:tc>
      </w:tr>
      <w:tr w:rsidR="00E91F7C" w:rsidRPr="007F5B6A" w:rsidTr="00D877AC">
        <w:tc>
          <w:tcPr>
            <w:tcW w:w="235" w:type="pct"/>
            <w:vMerge/>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examples of simplification for individual measures are hereby submitted for the consideration of Slovakia: </w:t>
            </w:r>
          </w:p>
          <w:p w:rsidR="00E91F7C" w:rsidRPr="007F5B6A" w:rsidRDefault="00E91F7C" w:rsidP="00E91F7C">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C)</w:t>
            </w:r>
            <w:r w:rsidRPr="007F5B6A">
              <w:rPr>
                <w:rFonts w:ascii="Times New Roman" w:hAnsi="Times New Roman"/>
                <w:sz w:val="20"/>
                <w:szCs w:val="20"/>
                <w:lang w:val="en-GB"/>
              </w:rPr>
              <w:t xml:space="preserve"> Measure 8: A number of intended type of operations can be easily grouped under sub-measures 8.3 (prevention actions) and 8.4 (restoration actions).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Jednotlivé operácie podopatrenia 8.3 a 8.4 boli zoskupené.</w:t>
            </w:r>
          </w:p>
        </w:tc>
      </w:tr>
      <w:tr w:rsidR="00E91F7C" w:rsidRPr="007F5B6A" w:rsidTr="00D877AC">
        <w:tc>
          <w:tcPr>
            <w:tcW w:w="235" w:type="pct"/>
            <w:vMerge/>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examples of simplification for individual measures are hereby submitted for the consideration of Slovakia: </w:t>
            </w:r>
          </w:p>
          <w:p w:rsidR="00E91F7C" w:rsidRPr="007F5B6A" w:rsidRDefault="00E91F7C" w:rsidP="00E91F7C">
            <w:pPr>
              <w:widowControl/>
              <w:tabs>
                <w:tab w:val="left" w:pos="1560"/>
              </w:tabs>
              <w:adjustRightInd/>
              <w:spacing w:after="0" w:line="240" w:lineRule="auto"/>
              <w:jc w:val="both"/>
              <w:rPr>
                <w:rFonts w:ascii="Times New Roman" w:hAnsi="Times New Roman"/>
                <w:b/>
                <w:iCs/>
                <w:sz w:val="20"/>
                <w:szCs w:val="20"/>
                <w:lang w:val="en-GB"/>
              </w:rPr>
            </w:pPr>
            <w:r w:rsidRPr="007F5B6A">
              <w:rPr>
                <w:rFonts w:ascii="Times New Roman" w:hAnsi="Times New Roman"/>
                <w:b/>
                <w:sz w:val="20"/>
                <w:szCs w:val="20"/>
                <w:lang w:val="en-GB"/>
              </w:rPr>
              <w:t>D)</w:t>
            </w:r>
            <w:r w:rsidRPr="007F5B6A">
              <w:rPr>
                <w:rFonts w:ascii="Times New Roman" w:hAnsi="Times New Roman"/>
                <w:sz w:val="20"/>
                <w:szCs w:val="20"/>
                <w:lang w:val="en-GB"/>
              </w:rPr>
              <w:t xml:space="preserve"> Measure 9 Producer groups (PG): This measure has real effect if it is linked to the production and marketing of high quality products, organic products and adding value to the primary agricultural production of PG members. However, the SWOT analysis refers to the important negative experience of the previous period, including the low adherence of producers, and most founded PGs disintegrated after terminating the EU support. Some objectives of the measure could be reached under other measures of the RDP such as M4, M6.4 and M16 (Cooperation). If the objectives are well covered by other types of operations with appropriate targeting, the measure could even be withdrawn from the Programme.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Opatrenie Zakladanie odbytových skupín výrobcov b</w:t>
            </w:r>
            <w:r w:rsidR="00EF0E56" w:rsidRPr="007F5B6A">
              <w:rPr>
                <w:rFonts w:ascii="Times New Roman" w:hAnsi="Times New Roman"/>
                <w:sz w:val="20"/>
                <w:szCs w:val="20"/>
                <w:lang w:val="sk-SK"/>
              </w:rPr>
              <w:t>olo</w:t>
            </w:r>
            <w:r w:rsidRPr="007F5B6A">
              <w:rPr>
                <w:rFonts w:ascii="Times New Roman" w:hAnsi="Times New Roman"/>
                <w:sz w:val="20"/>
                <w:szCs w:val="20"/>
                <w:lang w:val="sk-SK"/>
              </w:rPr>
              <w:t xml:space="preserve">  z programu odstránené.</w:t>
            </w:r>
          </w:p>
          <w:p w:rsidR="00E91F7C" w:rsidRPr="007F5B6A" w:rsidRDefault="00E91F7C" w:rsidP="00EF0E5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Potreba tohto opatrenia sa bude napĺňať pomocou opatreni</w:t>
            </w:r>
            <w:r w:rsidR="00EF0E56" w:rsidRPr="007F5B6A">
              <w:rPr>
                <w:rFonts w:ascii="Times New Roman" w:hAnsi="Times New Roman"/>
                <w:sz w:val="20"/>
                <w:szCs w:val="20"/>
                <w:lang w:val="sk-SK"/>
              </w:rPr>
              <w:t>a</w:t>
            </w:r>
            <w:r w:rsidRPr="007F5B6A">
              <w:rPr>
                <w:rFonts w:ascii="Times New Roman" w:hAnsi="Times New Roman"/>
                <w:sz w:val="20"/>
                <w:szCs w:val="20"/>
                <w:lang w:val="sk-SK"/>
              </w:rPr>
              <w:t xml:space="preserve"> 16 Spolupráca, v ktorom </w:t>
            </w:r>
            <w:r w:rsidR="00EF0E56" w:rsidRPr="007F5B6A">
              <w:rPr>
                <w:rFonts w:ascii="Times New Roman" w:hAnsi="Times New Roman"/>
                <w:sz w:val="20"/>
                <w:szCs w:val="20"/>
                <w:lang w:val="sk-SK"/>
              </w:rPr>
              <w:t>je</w:t>
            </w:r>
            <w:r w:rsidRPr="007F5B6A">
              <w:rPr>
                <w:rFonts w:ascii="Times New Roman" w:hAnsi="Times New Roman"/>
                <w:sz w:val="20"/>
                <w:szCs w:val="20"/>
                <w:lang w:val="sk-SK"/>
              </w:rPr>
              <w:t xml:space="preserve"> začlenen</w:t>
            </w:r>
            <w:r w:rsidR="00EF0E56" w:rsidRPr="007F5B6A">
              <w:rPr>
                <w:rFonts w:ascii="Times New Roman" w:hAnsi="Times New Roman"/>
                <w:sz w:val="20"/>
                <w:szCs w:val="20"/>
                <w:lang w:val="sk-SK"/>
              </w:rPr>
              <w:t>á</w:t>
            </w:r>
            <w:r w:rsidRPr="007F5B6A">
              <w:rPr>
                <w:rFonts w:ascii="Times New Roman" w:hAnsi="Times New Roman"/>
                <w:sz w:val="20"/>
                <w:szCs w:val="20"/>
                <w:lang w:val="sk-SK"/>
              </w:rPr>
              <w:t xml:space="preserve"> do podopatrenia 16.4 spolu s fin. alokáciou.</w:t>
            </w:r>
          </w:p>
        </w:tc>
      </w:tr>
      <w:tr w:rsidR="00E91F7C" w:rsidRPr="007F5B6A" w:rsidTr="00D877AC">
        <w:tc>
          <w:tcPr>
            <w:tcW w:w="235" w:type="pct"/>
            <w:vMerge w:val="restart"/>
            <w:tcBorders>
              <w:top w:val="nil"/>
            </w:tcBorders>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examples of simplification for individual measures are hereby submitted for the consideration of Slovakia: </w:t>
            </w:r>
          </w:p>
          <w:p w:rsidR="00E91F7C" w:rsidRPr="007F5B6A" w:rsidRDefault="00E91F7C" w:rsidP="00E91F7C">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E)</w:t>
            </w:r>
            <w:r w:rsidRPr="007F5B6A">
              <w:rPr>
                <w:rFonts w:ascii="Times New Roman" w:hAnsi="Times New Roman"/>
                <w:sz w:val="20"/>
                <w:szCs w:val="20"/>
                <w:lang w:val="en-GB"/>
              </w:rPr>
              <w:t xml:space="preserve"> Measure 10: The types of operations with low impact on the environment could be easily reduced, and wider support could be considered for schemes with higher positive impact on biodiversity.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Navrhované opatrenie obsahuje po úprave 9 operácií. Vypúšťame operáciu: </w:t>
            </w:r>
            <w:r w:rsidRPr="007F5B6A">
              <w:rPr>
                <w:rFonts w:ascii="Times New Roman" w:hAnsi="Times New Roman"/>
                <w:i/>
                <w:sz w:val="20"/>
                <w:szCs w:val="20"/>
                <w:lang w:val="sk-SK"/>
              </w:rPr>
              <w:t xml:space="preserve">Ochrana proti erózii. </w:t>
            </w:r>
            <w:r w:rsidRPr="007F5B6A">
              <w:rPr>
                <w:rFonts w:ascii="Times New Roman" w:hAnsi="Times New Roman"/>
                <w:sz w:val="20"/>
                <w:szCs w:val="20"/>
                <w:lang w:val="sk-SK"/>
              </w:rPr>
              <w:t>Uvedená operácia má nižší efekt na biodiverzitu a v programovom období 2007-2013 bola realizovaná v podstatne  menšej miere ako boli stanovené ciele a je dosť komplikovaná na vlastnú realizáciu a následnú kontrolu. Indikatívne prostriedky alokované na túto operáciu presúvame do operácie Multifunkčné okraje polí.</w:t>
            </w:r>
          </w:p>
        </w:tc>
      </w:tr>
      <w:tr w:rsidR="00862CEA" w:rsidRPr="007F5B6A" w:rsidTr="00D877AC">
        <w:tc>
          <w:tcPr>
            <w:tcW w:w="235" w:type="pct"/>
            <w:vMerge/>
            <w:tcBorders>
              <w:top w:val="nil"/>
            </w:tcBorders>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examples of simplification for individual measures are hereby submitted for the consideration of Slovakia: </w:t>
            </w:r>
          </w:p>
          <w:p w:rsidR="00E91F7C" w:rsidRPr="007F5B6A" w:rsidRDefault="00E91F7C" w:rsidP="00E91F7C">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F)</w:t>
            </w:r>
            <w:r w:rsidRPr="007F5B6A">
              <w:rPr>
                <w:rFonts w:ascii="Times New Roman" w:hAnsi="Times New Roman"/>
                <w:sz w:val="20"/>
                <w:szCs w:val="20"/>
                <w:lang w:val="en-GB"/>
              </w:rPr>
              <w:t xml:space="preserve"> Measure 17: The allocation of EUR 10 million to support the creation of mutual funds under the risk management measure does not seem to cover the potential damages in the Slovak agriculture. In addition, there is a lack of any experience with the creation and administration of mutual funds in Slovakia either at the level of beneficiaries or administration. Thus, the administrative effort required seems disproportionate for the expected results of the measure.</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6B66B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Vzhľadom na pripomienku 1 od EK riadiaci orgán PRV SR 2014-2020 vzal do úvahy toto odporúčanie, zhodnotil možnosti a situáciu. </w:t>
            </w:r>
            <w:r w:rsidR="006B66B2" w:rsidRPr="007F5B6A">
              <w:rPr>
                <w:rFonts w:ascii="Times New Roman" w:hAnsi="Times New Roman"/>
                <w:lang w:val="sk-SK"/>
              </w:rPr>
              <w:t xml:space="preserve">RO sa </w:t>
            </w:r>
            <w:r w:rsidR="006B66B2" w:rsidRPr="007F5B6A">
              <w:rPr>
                <w:rFonts w:ascii="Times New Roman" w:hAnsi="Times New Roman"/>
                <w:sz w:val="20"/>
                <w:szCs w:val="20"/>
                <w:lang w:val="sk-SK"/>
              </w:rPr>
              <w:t>rozhodol zavedenie podopatrenia Vzájomných fondov (VF) odložiť. Podmienky implementovania VF sú v súčasnosti predmetom podrobnejšieho rozpracovávania externými spracovateľmi a na základe výsledkov štúdie SR opätovne prehodnotí zavedenie resp. nezavedenie predmetného podopatrenia.</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current version of the RDP requires improvement regarding the structure. Information is frequently missing in relevant SFC2014 structured sections while being inserted elsewhere e.g. under general measure description or in the Annexes.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 zmysle pripomienok EK  sú projektové aj neprojektové opatrenia upravené.</w:t>
            </w:r>
          </w:p>
        </w:tc>
      </w:tr>
      <w:tr w:rsidR="00404F1F" w:rsidRPr="007F5B6A" w:rsidTr="00D877AC">
        <w:tc>
          <w:tcPr>
            <w:tcW w:w="235" w:type="pct"/>
            <w:vMerge w:val="restart"/>
            <w:shd w:val="clear" w:color="auto" w:fill="FFFFFF" w:themeFill="background1"/>
          </w:tcPr>
          <w:p w:rsidR="00404F1F" w:rsidRPr="007F5B6A" w:rsidRDefault="00404F1F"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w:t>
            </w:r>
          </w:p>
        </w:tc>
        <w:tc>
          <w:tcPr>
            <w:tcW w:w="2963" w:type="pct"/>
            <w:shd w:val="clear" w:color="auto" w:fill="FFFFFF" w:themeFill="background1"/>
          </w:tcPr>
          <w:p w:rsidR="00404F1F" w:rsidRPr="007F5B6A" w:rsidRDefault="00404F1F" w:rsidP="00E91F7C">
            <w:pPr>
              <w:pStyle w:val="Nadpis2"/>
              <w:spacing w:before="0" w:after="0"/>
              <w:rPr>
                <w:rFonts w:ascii="Times New Roman" w:hAnsi="Times New Roman"/>
                <w:sz w:val="20"/>
              </w:rPr>
            </w:pPr>
            <w:r w:rsidRPr="007F5B6A">
              <w:rPr>
                <w:rFonts w:ascii="Times New Roman" w:hAnsi="Times New Roman"/>
                <w:sz w:val="20"/>
              </w:rPr>
              <w:t xml:space="preserve">Environmental aspects </w:t>
            </w:r>
          </w:p>
          <w:p w:rsidR="00404F1F" w:rsidRPr="007F5B6A" w:rsidRDefault="00404F1F"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practices a quite intensive agriculture concentrated in the productive plain, while at the same time it has valuable biodiversity with a very high proportion of the country (30%) designated as Natura 2000. While the diagnosis of the environmental problems is quite general, the needs identified are not fully mirrored in the measures. </w:t>
            </w:r>
          </w:p>
          <w:p w:rsidR="00404F1F" w:rsidRPr="007F5B6A" w:rsidRDefault="00404F1F"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The following main remarks might increase the global environmental ambition of the Rural Development Programme of Slovakia:</w:t>
            </w:r>
          </w:p>
          <w:p w:rsidR="00404F1F" w:rsidRPr="007F5B6A" w:rsidRDefault="00404F1F" w:rsidP="00404F1F">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A)</w:t>
            </w:r>
            <w:r w:rsidRPr="007F5B6A">
              <w:rPr>
                <w:rFonts w:ascii="Times New Roman" w:hAnsi="Times New Roman"/>
                <w:sz w:val="20"/>
                <w:szCs w:val="20"/>
                <w:lang w:val="en-GB"/>
              </w:rPr>
              <w:t xml:space="preserve"> Level of funding: 42% of the RDP budget is allocated to the measures contributing to environment and climate change, above the minimum 30% required by the Regulation. However, a very high part (55%) of the environmental funds is allocated to ANCs and other investments on drainage and forests roads, which are not expected to deliver substantial environmental enhancement. On the other side, despite the large area covered by Natura 2000 the related measures are not sufficiently funded. </w:t>
            </w:r>
          </w:p>
        </w:tc>
        <w:tc>
          <w:tcPr>
            <w:tcW w:w="296" w:type="pct"/>
            <w:shd w:val="clear" w:color="auto" w:fill="FFFFFF" w:themeFill="background1"/>
            <w:vAlign w:val="center"/>
          </w:tcPr>
          <w:p w:rsidR="00404F1F" w:rsidRPr="007F5B6A" w:rsidRDefault="00404F1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p w:rsidR="00404F1F" w:rsidRPr="007F5B6A" w:rsidRDefault="00404F1F"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404F1F" w:rsidRPr="007F5B6A" w:rsidRDefault="00404F1F"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 Na úvod je potrebné vysvetlenie: Áno SR má významný podiel  poľnohospodárskych pôd v územiach Natura 2000, ale takmer 90% týchto pôd je v znevýhodnených oblastiach, teda mimo intenzívnych nížinných oblastí (prehľad je uvedený v novej prílohe programu „Stanovenie území HNV v SR“.</w:t>
            </w:r>
          </w:p>
          <w:p w:rsidR="00404F1F" w:rsidRPr="007F5B6A" w:rsidRDefault="00404F1F"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Konštatovanie, že opatrenia nedostatočne financujú územia Natura 2000 je neopodstatnené.</w:t>
            </w:r>
            <w:r w:rsidRPr="007F5B6A">
              <w:rPr>
                <w:rFonts w:ascii="Times New Roman" w:hAnsi="Times New Roman"/>
                <w:b/>
                <w:sz w:val="20"/>
                <w:szCs w:val="20"/>
                <w:lang w:val="sk-SK"/>
              </w:rPr>
              <w:t xml:space="preserve"> </w:t>
            </w:r>
            <w:r w:rsidRPr="007F5B6A">
              <w:rPr>
                <w:rFonts w:ascii="Times New Roman" w:hAnsi="Times New Roman"/>
                <w:sz w:val="20"/>
                <w:szCs w:val="20"/>
                <w:lang w:val="sk-SK"/>
              </w:rPr>
              <w:t>MPRV SR</w:t>
            </w:r>
            <w:r w:rsidRPr="007F5B6A">
              <w:rPr>
                <w:rFonts w:ascii="Times New Roman" w:hAnsi="Times New Roman"/>
                <w:b/>
                <w:sz w:val="20"/>
                <w:szCs w:val="20"/>
                <w:lang w:val="sk-SK"/>
              </w:rPr>
              <w:t xml:space="preserve"> </w:t>
            </w:r>
            <w:r w:rsidRPr="007F5B6A">
              <w:rPr>
                <w:rFonts w:ascii="Times New Roman" w:hAnsi="Times New Roman"/>
                <w:sz w:val="20"/>
                <w:szCs w:val="20"/>
                <w:lang w:val="sk-SK"/>
              </w:rPr>
              <w:t>vypracovalo a EK zaslalo „</w:t>
            </w:r>
            <w:r w:rsidRPr="007F5B6A">
              <w:rPr>
                <w:rFonts w:ascii="Times New Roman" w:hAnsi="Times New Roman"/>
                <w:i/>
                <w:sz w:val="20"/>
                <w:szCs w:val="20"/>
                <w:lang w:val="sk-SK"/>
              </w:rPr>
              <w:t>Analýzu možností poskytovania platieb z Programu rozvoja vidieka SR 2014-2020 prostredníctvom opatrenia Platby v rámci sústavy Natura 2000”</w:t>
            </w:r>
            <w:r w:rsidRPr="007F5B6A">
              <w:rPr>
                <w:rFonts w:ascii="Times New Roman" w:hAnsi="Times New Roman"/>
                <w:sz w:val="20"/>
                <w:szCs w:val="20"/>
                <w:lang w:val="sk-SK"/>
              </w:rPr>
              <w:t xml:space="preserve"> a jej výsledky boli zohľadnené v návrhu PRV.</w:t>
            </w:r>
          </w:p>
          <w:p w:rsidR="00404F1F" w:rsidRPr="007F5B6A" w:rsidRDefault="00404F1F"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Pri opatreniach 10 AEKO, 11 EP sú jednoznačne uprednostňované plochy nachádzajúce sa v oblastiach Natura</w:t>
            </w:r>
            <w:r w:rsidR="00B72646" w:rsidRPr="007F5B6A">
              <w:rPr>
                <w:rFonts w:ascii="Times New Roman" w:hAnsi="Times New Roman"/>
                <w:sz w:val="20"/>
                <w:szCs w:val="20"/>
                <w:lang w:val="sk-SK"/>
              </w:rPr>
              <w:t xml:space="preserve"> </w:t>
            </w:r>
            <w:r w:rsidRPr="007F5B6A">
              <w:rPr>
                <w:rFonts w:ascii="Times New Roman" w:hAnsi="Times New Roman"/>
                <w:sz w:val="20"/>
                <w:szCs w:val="20"/>
                <w:lang w:val="sk-SK"/>
              </w:rPr>
              <w:t>2000.</w:t>
            </w:r>
          </w:p>
        </w:tc>
      </w:tr>
      <w:tr w:rsidR="00862CEA" w:rsidRPr="007F5B6A" w:rsidTr="00D877AC">
        <w:tc>
          <w:tcPr>
            <w:tcW w:w="235" w:type="pct"/>
            <w:vMerge/>
            <w:shd w:val="clear" w:color="auto" w:fill="FFFFFF" w:themeFill="background1"/>
          </w:tcPr>
          <w:p w:rsidR="00404F1F" w:rsidRPr="007F5B6A" w:rsidRDefault="00404F1F" w:rsidP="00E91F7C">
            <w:pPr>
              <w:widowControl/>
              <w:spacing w:after="0" w:line="240" w:lineRule="auto"/>
              <w:ind w:left="360"/>
              <w:rPr>
                <w:rFonts w:ascii="Times New Roman" w:hAnsi="Times New Roman"/>
                <w:b/>
                <w:sz w:val="20"/>
                <w:szCs w:val="20"/>
                <w:lang w:val="sk-SK"/>
              </w:rPr>
            </w:pPr>
          </w:p>
        </w:tc>
        <w:tc>
          <w:tcPr>
            <w:tcW w:w="2963" w:type="pct"/>
            <w:shd w:val="clear" w:color="auto" w:fill="FFFFFF" w:themeFill="background1"/>
          </w:tcPr>
          <w:p w:rsidR="00404F1F" w:rsidRPr="007F5B6A" w:rsidRDefault="00404F1F" w:rsidP="00404F1F">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B)</w:t>
            </w:r>
            <w:r w:rsidRPr="007F5B6A">
              <w:rPr>
                <w:rFonts w:ascii="Times New Roman" w:hAnsi="Times New Roman"/>
                <w:sz w:val="20"/>
                <w:szCs w:val="20"/>
                <w:lang w:val="en-GB"/>
              </w:rPr>
              <w:t xml:space="preserve"> Unjustified changes in some measures: Some successful and environmentally efficient measures of the previous programme (payment for semi natural grasslands, sub-measure on farmland birds, forest-environment payments, HNV grasslands, etc.) have been changed, reduced or withdrawn without justification. In particular, the deletion of measures for the protection of birds on grassland and the reduction of the biodiversity related measures causes strong concern. </w:t>
            </w:r>
          </w:p>
        </w:tc>
        <w:tc>
          <w:tcPr>
            <w:tcW w:w="296" w:type="pct"/>
            <w:shd w:val="clear" w:color="auto" w:fill="FFFFFF" w:themeFill="background1"/>
            <w:vAlign w:val="center"/>
          </w:tcPr>
          <w:p w:rsidR="00404F1F" w:rsidRPr="007F5B6A" w:rsidRDefault="00B72646"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p w:rsidR="00404F1F" w:rsidRPr="007F5B6A" w:rsidRDefault="00404F1F"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B72646" w:rsidRPr="007F5B6A" w:rsidRDefault="00B72646" w:rsidP="00B72646">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Akceptujeme znepokojenie EK, avšak na základe  rozboru situácie a podmienok nového  krížového plnenia, minimálnych činností, legislatívy SR  a greeningu (ako baseline), ktorý bol poskytnutý EK, sme si ujasnili s EK dôvody zmien oproti súčasnému programovému obdobiu.   </w:t>
            </w:r>
          </w:p>
          <w:p w:rsidR="00404F1F" w:rsidRPr="007F5B6A" w:rsidRDefault="00B72646"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SR upravila viaceré typy opatrení/operácií (platby pre biotopy TTP, lesnícko-environmentálne platby, oblasti HNV).</w:t>
            </w:r>
          </w:p>
        </w:tc>
      </w:tr>
      <w:tr w:rsidR="00E91F7C" w:rsidRPr="007F5B6A" w:rsidTr="00D877AC">
        <w:tc>
          <w:tcPr>
            <w:tcW w:w="235" w:type="pct"/>
            <w:tcBorders>
              <w:top w:val="nil"/>
            </w:tcBorders>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E91F7C" w:rsidRPr="007F5B6A" w:rsidRDefault="00E91F7C" w:rsidP="00404F1F">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C)</w:t>
            </w:r>
            <w:r w:rsidRPr="007F5B6A">
              <w:rPr>
                <w:rFonts w:ascii="Times New Roman" w:hAnsi="Times New Roman"/>
                <w:sz w:val="20"/>
                <w:szCs w:val="20"/>
                <w:lang w:val="en-GB"/>
              </w:rPr>
              <w:t xml:space="preserve"> Respect of the European and national legislation and of strategic documents, such as the Water Framework Directive (WFD): The foreseen investments on drainage have to respect the WFD requirements, namely Art. 4(1)(a) on prevention of deterioration of status, Art 11(3)(h) and Article 4.7 on the need of environmental assessment. No article 4(7) exemptions have been notified to the Commission for the first River Basin Management Plans (RBMPs). Eligible drainage investments are not presented in the RBMP, and before being financed they should be first assessed in view of neither resulting in water status deterioration, nor undermining the achievement of good water status or be against WFD Art 4(7). The current proposal seems to neglect the principles of integrated landscape management, priority for green infrastructure and the very important contribution of natural water retention measures. </w:t>
            </w:r>
          </w:p>
        </w:tc>
        <w:tc>
          <w:tcPr>
            <w:tcW w:w="296" w:type="pct"/>
            <w:shd w:val="clear" w:color="auto" w:fill="FFFFFF" w:themeFill="background1"/>
            <w:vAlign w:val="center"/>
          </w:tcPr>
          <w:p w:rsidR="00E91F7C" w:rsidRPr="007F5B6A" w:rsidRDefault="00AF6C70" w:rsidP="00AF6C70">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AF6C70" w:rsidP="00404F1F">
            <w:pPr>
              <w:spacing w:after="0" w:line="240" w:lineRule="auto"/>
              <w:rPr>
                <w:rFonts w:ascii="Times New Roman" w:hAnsi="Times New Roman"/>
                <w:sz w:val="20"/>
                <w:szCs w:val="20"/>
                <w:lang w:val="sk-SK"/>
              </w:rPr>
            </w:pPr>
            <w:r w:rsidRPr="007F5B6A">
              <w:rPr>
                <w:rFonts w:ascii="Times New Roman" w:hAnsi="Times New Roman"/>
                <w:sz w:val="20"/>
                <w:szCs w:val="20"/>
                <w:lang w:val="sk-SK"/>
              </w:rPr>
              <w:t>Viď zapracovanú zmenu v opatrení.</w:t>
            </w:r>
          </w:p>
        </w:tc>
      </w:tr>
      <w:tr w:rsidR="00862CEA" w:rsidRPr="007F5B6A" w:rsidTr="00D877AC">
        <w:tc>
          <w:tcPr>
            <w:tcW w:w="235" w:type="pct"/>
            <w:vMerge w:val="restart"/>
            <w:tcBorders>
              <w:top w:val="nil"/>
            </w:tcBorders>
            <w:shd w:val="clear" w:color="auto" w:fill="FFFFFF" w:themeFill="background1"/>
          </w:tcPr>
          <w:p w:rsidR="00242D86" w:rsidRPr="007F5B6A" w:rsidRDefault="00242D86" w:rsidP="00E91F7C">
            <w:pPr>
              <w:widowControl/>
              <w:spacing w:after="0" w:line="240" w:lineRule="auto"/>
              <w:ind w:left="360"/>
              <w:rPr>
                <w:rFonts w:ascii="Times New Roman" w:hAnsi="Times New Roman"/>
                <w:b/>
                <w:sz w:val="20"/>
                <w:szCs w:val="20"/>
                <w:lang w:val="sk-SK"/>
              </w:rPr>
            </w:pPr>
          </w:p>
        </w:tc>
        <w:tc>
          <w:tcPr>
            <w:tcW w:w="2963" w:type="pct"/>
            <w:shd w:val="clear" w:color="auto" w:fill="FFFFFF" w:themeFill="background1"/>
          </w:tcPr>
          <w:p w:rsidR="00242D86" w:rsidRPr="007F5B6A" w:rsidRDefault="00242D86" w:rsidP="00404F1F">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D)</w:t>
            </w:r>
            <w:r w:rsidRPr="007F5B6A">
              <w:rPr>
                <w:rFonts w:ascii="Times New Roman" w:hAnsi="Times New Roman"/>
                <w:sz w:val="20"/>
                <w:szCs w:val="20"/>
                <w:lang w:val="en-GB"/>
              </w:rPr>
              <w:t xml:space="preserve"> A number of forest related measures raise important concerns, in particular the drastic reduction of the area coverage of nature and forest measures compared to the period 2007 - 2013. The low uptake of these measures in that period should not be argued as a justification for their strong reduction, but should lead to a better design of the measures.  In addition, the forest-environment sub-measure might need substantial adjustment (included an adjusted aid rate) to ensure its effective impact for improving biodiversity.  </w:t>
            </w:r>
          </w:p>
        </w:tc>
        <w:tc>
          <w:tcPr>
            <w:tcW w:w="296" w:type="pct"/>
            <w:shd w:val="clear" w:color="auto" w:fill="FFFFFF" w:themeFill="background1"/>
            <w:vAlign w:val="center"/>
          </w:tcPr>
          <w:p w:rsidR="00242D86" w:rsidRPr="007F5B6A" w:rsidRDefault="00B72646"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242D86" w:rsidRPr="007F5B6A" w:rsidRDefault="00242D86"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242D86" w:rsidRPr="007F5B6A" w:rsidRDefault="00242D86"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Navrhované lesnícko-environmentálne podopatrenia </w:t>
            </w:r>
            <w:r w:rsidR="00B72646" w:rsidRPr="007F5B6A">
              <w:rPr>
                <w:rFonts w:ascii="Times New Roman" w:hAnsi="Times New Roman"/>
                <w:sz w:val="20"/>
                <w:szCs w:val="20"/>
                <w:lang w:val="sk-SK"/>
              </w:rPr>
              <w:t>boli upravené.</w:t>
            </w:r>
          </w:p>
        </w:tc>
      </w:tr>
      <w:tr w:rsidR="00242D86" w:rsidRPr="007F5B6A" w:rsidTr="00D877AC">
        <w:tc>
          <w:tcPr>
            <w:tcW w:w="235" w:type="pct"/>
            <w:vMerge/>
            <w:shd w:val="clear" w:color="auto" w:fill="FFFFFF" w:themeFill="background1"/>
          </w:tcPr>
          <w:p w:rsidR="00242D86" w:rsidRPr="007F5B6A" w:rsidRDefault="00242D86" w:rsidP="00E91F7C">
            <w:pPr>
              <w:widowControl/>
              <w:spacing w:after="0" w:line="240" w:lineRule="auto"/>
              <w:ind w:left="360"/>
              <w:rPr>
                <w:rFonts w:ascii="Times New Roman" w:hAnsi="Times New Roman"/>
                <w:b/>
                <w:sz w:val="20"/>
                <w:szCs w:val="20"/>
                <w:lang w:val="sk-SK"/>
              </w:rPr>
            </w:pPr>
          </w:p>
        </w:tc>
        <w:tc>
          <w:tcPr>
            <w:tcW w:w="2963" w:type="pct"/>
            <w:shd w:val="clear" w:color="auto" w:fill="FFFFFF" w:themeFill="background1"/>
          </w:tcPr>
          <w:p w:rsidR="00242D86" w:rsidRPr="007F5B6A" w:rsidRDefault="00242D86" w:rsidP="00404F1F">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E)</w:t>
            </w:r>
            <w:r w:rsidRPr="007F5B6A">
              <w:rPr>
                <w:rFonts w:ascii="Times New Roman" w:hAnsi="Times New Roman"/>
                <w:sz w:val="20"/>
                <w:szCs w:val="20"/>
                <w:lang w:val="en-GB"/>
              </w:rPr>
              <w:t xml:space="preserve"> The eligibility criteria of most environmental measures only allow farmers to be beneficiaries. However, other land managers such as NGOs for the nature conservation could worthily be allowed to apply for aid in some cases.</w:t>
            </w:r>
          </w:p>
        </w:tc>
        <w:tc>
          <w:tcPr>
            <w:tcW w:w="296" w:type="pct"/>
            <w:shd w:val="clear" w:color="auto" w:fill="FFFFFF" w:themeFill="background1"/>
            <w:vAlign w:val="center"/>
          </w:tcPr>
          <w:p w:rsidR="00242D86" w:rsidRPr="007F5B6A" w:rsidRDefault="00242D86"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242D86" w:rsidRPr="007F5B6A" w:rsidRDefault="00B72646" w:rsidP="00EF0E56">
            <w:pPr>
              <w:spacing w:after="0" w:line="240" w:lineRule="auto"/>
              <w:rPr>
                <w:rFonts w:ascii="Times New Roman" w:hAnsi="Times New Roman"/>
                <w:b/>
                <w:sz w:val="20"/>
                <w:szCs w:val="20"/>
                <w:lang w:val="sk-SK"/>
              </w:rPr>
            </w:pPr>
            <w:r w:rsidRPr="007F5B6A">
              <w:rPr>
                <w:rFonts w:ascii="Times New Roman" w:hAnsi="Times New Roman"/>
                <w:sz w:val="20"/>
                <w:szCs w:val="20"/>
                <w:lang w:val="sk-SK"/>
              </w:rPr>
              <w:t>Environmentálne opatrenia adekvátne upravené v príslušných opatreniach programu.</w:t>
            </w:r>
            <w:r w:rsidR="00242D86" w:rsidRPr="007F5B6A">
              <w:rPr>
                <w:rFonts w:ascii="Times New Roman" w:hAnsi="Times New Roman"/>
                <w:sz w:val="20"/>
                <w:szCs w:val="20"/>
                <w:lang w:val="sk-SK"/>
              </w:rPr>
              <w:t xml:space="preserve"> Doplnený text </w:t>
            </w:r>
            <w:r w:rsidR="00EF0E56" w:rsidRPr="007F5B6A">
              <w:rPr>
                <w:rFonts w:ascii="Times New Roman" w:hAnsi="Times New Roman"/>
                <w:sz w:val="20"/>
                <w:szCs w:val="20"/>
                <w:lang w:val="sk-SK"/>
              </w:rPr>
              <w:t>bol</w:t>
            </w:r>
            <w:r w:rsidR="00242D86" w:rsidRPr="007F5B6A">
              <w:rPr>
                <w:rFonts w:ascii="Times New Roman" w:hAnsi="Times New Roman"/>
                <w:sz w:val="20"/>
                <w:szCs w:val="20"/>
                <w:lang w:val="sk-SK"/>
              </w:rPr>
              <w:t xml:space="preserve"> priebežne konzultovaný s EK. V rámci podopatrenia 8.5 sú rovnako príjemcami pomoci aj občianske združenia v zmysle zákona č. 83/1990 Z. z. o združovaní občanov, ktoré sú so súhlasom obhospodarovateľa lesa daného územia oprávnené realizovať oprávnené činnosti. </w:t>
            </w:r>
          </w:p>
        </w:tc>
      </w:tr>
      <w:tr w:rsidR="00862CEA" w:rsidRPr="007F5B6A" w:rsidTr="00D877AC">
        <w:tc>
          <w:tcPr>
            <w:tcW w:w="235" w:type="pct"/>
            <w:vMerge/>
            <w:shd w:val="clear" w:color="auto" w:fill="FFFFFF" w:themeFill="background1"/>
          </w:tcPr>
          <w:p w:rsidR="00242D86" w:rsidRPr="007F5B6A" w:rsidRDefault="00242D86" w:rsidP="00E91F7C">
            <w:pPr>
              <w:widowControl/>
              <w:spacing w:after="0" w:line="240" w:lineRule="auto"/>
              <w:rPr>
                <w:rFonts w:ascii="Times New Roman" w:hAnsi="Times New Roman"/>
                <w:b/>
                <w:sz w:val="20"/>
                <w:szCs w:val="20"/>
                <w:lang w:val="sk-SK"/>
              </w:rPr>
            </w:pPr>
          </w:p>
        </w:tc>
        <w:tc>
          <w:tcPr>
            <w:tcW w:w="2963" w:type="pct"/>
            <w:shd w:val="clear" w:color="auto" w:fill="FFFFFF" w:themeFill="background1"/>
          </w:tcPr>
          <w:p w:rsidR="00242D86" w:rsidRPr="007F5B6A" w:rsidRDefault="00242D86" w:rsidP="00404F1F">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F)</w:t>
            </w:r>
            <w:r w:rsidRPr="007F5B6A">
              <w:rPr>
                <w:rFonts w:ascii="Times New Roman" w:hAnsi="Times New Roman"/>
                <w:sz w:val="20"/>
                <w:szCs w:val="20"/>
                <w:lang w:val="en-GB"/>
              </w:rPr>
              <w:t xml:space="preserve"> One measure of the program envisages a conversion of natural montane spruce forests to other types of ecosystems. These forests are important for the survival of the last populations of Capercaillie (Tetrao urogallus) in Slovakia, which is a priority species under the Birds Directive. This together with the fact that natural montane spruce forests have a high natural regeneration ability which should be reflected in the design of the measure. The Slovak authorities are invited to provide the environmental justification for re-placing these stands in the measure.</w:t>
            </w:r>
          </w:p>
        </w:tc>
        <w:tc>
          <w:tcPr>
            <w:tcW w:w="296" w:type="pct"/>
            <w:shd w:val="clear" w:color="auto" w:fill="FFFFFF" w:themeFill="background1"/>
            <w:vAlign w:val="center"/>
          </w:tcPr>
          <w:p w:rsidR="00242D86" w:rsidRPr="007F5B6A" w:rsidRDefault="00242D86"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242D86" w:rsidRPr="007F5B6A" w:rsidRDefault="002715EF" w:rsidP="002715EF">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Projekty konverzie smrečín sa budú realizovať len na územiach, na ktorých sú smrečiny stanovištne nevhodnou drevinou (nie prírodne pôvodnou), založenou na stanovišti pôvodne zmiešaných lesov a budú nahrádzané stanovištne vhodnými drevinami s vysokou ekologickou stabilitou. Drevinové zloženie obnovovaných lesov je predpísané v programoch starostlivosti o lesy a vychádza z modelov hospodárenia vypracovaných Národným lesníckym centrom vo Zvolene ako národnou lesníckou  vedeckou autoritou a zohľadňuje i výsledky typologického prieskumu.</w:t>
            </w:r>
          </w:p>
        </w:tc>
      </w:tr>
      <w:tr w:rsidR="00862CEA" w:rsidRPr="007F5B6A" w:rsidTr="00D877AC">
        <w:tc>
          <w:tcPr>
            <w:tcW w:w="235" w:type="pct"/>
            <w:vMerge w:val="restart"/>
            <w:tcBorders>
              <w:top w:val="nil"/>
            </w:tcBorders>
            <w:shd w:val="clear" w:color="auto" w:fill="FFFFFF" w:themeFill="background1"/>
          </w:tcPr>
          <w:p w:rsidR="00242D86" w:rsidRPr="007F5B6A" w:rsidRDefault="00242D86" w:rsidP="00E91F7C">
            <w:pPr>
              <w:widowControl/>
              <w:spacing w:after="0" w:line="240" w:lineRule="auto"/>
              <w:ind w:left="360"/>
              <w:rPr>
                <w:rFonts w:ascii="Times New Roman" w:hAnsi="Times New Roman"/>
                <w:b/>
                <w:sz w:val="20"/>
                <w:szCs w:val="20"/>
                <w:lang w:val="sk-SK"/>
              </w:rPr>
            </w:pPr>
          </w:p>
        </w:tc>
        <w:tc>
          <w:tcPr>
            <w:tcW w:w="2963" w:type="pct"/>
            <w:shd w:val="clear" w:color="auto" w:fill="FFFFFF" w:themeFill="background1"/>
          </w:tcPr>
          <w:p w:rsidR="00242D86" w:rsidRPr="007F5B6A" w:rsidRDefault="00242D86" w:rsidP="00242D86">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G)</w:t>
            </w:r>
            <w:r w:rsidRPr="007F5B6A">
              <w:rPr>
                <w:rFonts w:ascii="Times New Roman" w:hAnsi="Times New Roman"/>
                <w:sz w:val="20"/>
                <w:szCs w:val="20"/>
                <w:lang w:val="en-GB"/>
              </w:rPr>
              <w:t xml:space="preserve"> There seem to be a number of inconsistencies particularly as regards the data provided on woody biomass potential and density of forest roads in Slovakia. This raises concern given the important allocation of funds to biomass production for energy purposes and road construction which can have detrimental effects such as the fragmentation of habitats and hence a loss of biodiversity. The Slovak authorities are invited to provide further clarifications on this point.</w:t>
            </w:r>
          </w:p>
        </w:tc>
        <w:tc>
          <w:tcPr>
            <w:tcW w:w="296" w:type="pct"/>
            <w:shd w:val="clear" w:color="auto" w:fill="FFFFFF" w:themeFill="background1"/>
            <w:vAlign w:val="center"/>
          </w:tcPr>
          <w:p w:rsidR="00242D86" w:rsidRPr="007F5B6A" w:rsidRDefault="00242D86"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242D86" w:rsidRPr="007F5B6A" w:rsidRDefault="002715EF" w:rsidP="00242D86">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Text týkajúci sa drevnej biomasy, ako aj hustoty lesných ciest v podmienkach SR bol revidovaný, tak vo SWOT analýze tak aj príslušných opatreniach 4 a 8. V rámci výstavby lesných ciest boli doplnené kritéria oprávnenosti o optimálnej hustote lesnej cestnej siete. Možnosť podpory využívania dreva ako zdroja energie bola v rámci PRV SR 2014-2020 odstránená.  </w:t>
            </w:r>
          </w:p>
        </w:tc>
      </w:tr>
      <w:tr w:rsidR="00242D86" w:rsidRPr="007F5B6A" w:rsidTr="00D877AC">
        <w:tc>
          <w:tcPr>
            <w:tcW w:w="235" w:type="pct"/>
            <w:vMerge/>
            <w:shd w:val="clear" w:color="auto" w:fill="FFFFFF" w:themeFill="background1"/>
          </w:tcPr>
          <w:p w:rsidR="00242D86" w:rsidRPr="007F5B6A" w:rsidRDefault="00242D86" w:rsidP="00E91F7C">
            <w:pPr>
              <w:widowControl/>
              <w:spacing w:after="0" w:line="240" w:lineRule="auto"/>
              <w:ind w:left="360"/>
              <w:rPr>
                <w:rFonts w:ascii="Times New Roman" w:hAnsi="Times New Roman"/>
                <w:b/>
                <w:sz w:val="20"/>
                <w:szCs w:val="20"/>
                <w:lang w:val="sk-SK"/>
              </w:rPr>
            </w:pPr>
          </w:p>
        </w:tc>
        <w:tc>
          <w:tcPr>
            <w:tcW w:w="2963" w:type="pct"/>
            <w:shd w:val="clear" w:color="auto" w:fill="FFFFFF" w:themeFill="background1"/>
          </w:tcPr>
          <w:p w:rsidR="00242D86" w:rsidRPr="007F5B6A" w:rsidRDefault="00242D86" w:rsidP="00242D86">
            <w:pPr>
              <w:widowControl/>
              <w:tabs>
                <w:tab w:val="left" w:pos="1560"/>
              </w:tabs>
              <w:adjustRightInd/>
              <w:spacing w:after="0" w:line="240" w:lineRule="auto"/>
              <w:jc w:val="both"/>
              <w:rPr>
                <w:rFonts w:ascii="Times New Roman" w:hAnsi="Times New Roman"/>
                <w:sz w:val="20"/>
                <w:szCs w:val="20"/>
                <w:lang w:val="en-GB"/>
              </w:rPr>
            </w:pPr>
            <w:r w:rsidRPr="007F5B6A">
              <w:rPr>
                <w:rFonts w:ascii="Times New Roman" w:hAnsi="Times New Roman"/>
                <w:b/>
                <w:sz w:val="20"/>
                <w:szCs w:val="20"/>
                <w:lang w:val="en-GB"/>
              </w:rPr>
              <w:t>H)</w:t>
            </w:r>
            <w:r w:rsidRPr="007F5B6A">
              <w:rPr>
                <w:rFonts w:ascii="Times New Roman" w:hAnsi="Times New Roman"/>
                <w:sz w:val="20"/>
                <w:szCs w:val="20"/>
                <w:lang w:val="en-GB"/>
              </w:rPr>
              <w:t xml:space="preserve"> Please introduce safeguards under relevant measures in terms of protection of environment, e.g. biodiversity, high nature value areas on agricultural and forest land, territorial system of ecological stability, landscape features, maintaining good ecological status of water bodies etc.  </w:t>
            </w:r>
          </w:p>
          <w:p w:rsidR="00242D86" w:rsidRPr="007F5B6A" w:rsidRDefault="00242D86" w:rsidP="00E91F7C">
            <w:pPr>
              <w:widowControl/>
              <w:tabs>
                <w:tab w:val="left" w:pos="1560"/>
              </w:tabs>
              <w:adjustRightInd/>
              <w:spacing w:after="0" w:line="240" w:lineRule="auto"/>
              <w:jc w:val="both"/>
              <w:rPr>
                <w:rFonts w:ascii="Times New Roman" w:hAnsi="Times New Roman"/>
                <w:sz w:val="20"/>
                <w:szCs w:val="20"/>
                <w:lang w:val="en-GB"/>
              </w:rPr>
            </w:pPr>
          </w:p>
        </w:tc>
        <w:tc>
          <w:tcPr>
            <w:tcW w:w="296" w:type="pct"/>
            <w:shd w:val="clear" w:color="auto" w:fill="FFFFFF" w:themeFill="background1"/>
            <w:vAlign w:val="center"/>
          </w:tcPr>
          <w:p w:rsidR="00242D86" w:rsidRPr="007F5B6A" w:rsidRDefault="006160DB" w:rsidP="006160DB">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242D86" w:rsidRPr="007F5B6A" w:rsidRDefault="006160DB" w:rsidP="006160DB">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Relevantné záruky k jednotlivým opatreniam boli doplnené na základe diskusií s EK. Zároveň k</w:t>
            </w:r>
            <w:r w:rsidR="00242D86" w:rsidRPr="007F5B6A">
              <w:rPr>
                <w:rFonts w:ascii="Times New Roman" w:hAnsi="Times New Roman"/>
                <w:sz w:val="20"/>
                <w:szCs w:val="20"/>
                <w:lang w:val="sk-SK"/>
              </w:rPr>
              <w:t>aždý projekt musí obsahovať platné stavebné povolenie v zmysle platného stavebného zákona č. 50/1976 Zb., v ktorom sa v prípade stavieb ukladá povinnosť posudzovania vplyvu danej stavby na životné prostredie v zmysle zákona 24/2006 Z.z. o posudzovaní vplyvov na životné prostredie (EIA). Z daného vyplýva, že na ochranu životného prostredia je kladený dostatočný dôraz vyplývajúci priamo zo samotného zákona.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some 440,000 Roma inhabitants in Slovakia represent 9% of the total MS population, the highest share in the EU. The last progress report on implementation of the EU Framework for National Roma Integration Strategies (SWD(2014) 121 final) shows achievements in Slovakia in education, employment, health, housing and anti-discrimination measures. However, it concludes that "measures targeting Roma should be carried out within an integrated approach supported by adequate sustainable funding".</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Rovnosť príležitostí pre všetky skupiny obyvateľstva je uplatňovaná horizontálnym princípom naprieč celým PRV SR 2014-2020. Naviac, niektoré opatrenia obsahujú konkrétne kroky smerujúce k inklúzii marginalizovaných skupín vrátane MRK. Napr. opatren</w:t>
            </w:r>
            <w:r w:rsidR="00C5676A" w:rsidRPr="007F5B6A">
              <w:rPr>
                <w:rFonts w:ascii="Times New Roman" w:hAnsi="Times New Roman"/>
                <w:sz w:val="20"/>
                <w:szCs w:val="20"/>
                <w:lang w:val="sk-SK"/>
              </w:rPr>
              <w:t>ie</w:t>
            </w:r>
            <w:r w:rsidRPr="007F5B6A">
              <w:rPr>
                <w:rFonts w:ascii="Times New Roman" w:hAnsi="Times New Roman"/>
                <w:sz w:val="20"/>
                <w:szCs w:val="20"/>
                <w:lang w:val="sk-SK"/>
              </w:rPr>
              <w:t xml:space="preserve"> 7 (podopatrenie 7.2</w:t>
            </w:r>
            <w:r w:rsidR="00C5676A" w:rsidRPr="007F5B6A">
              <w:rPr>
                <w:rFonts w:ascii="Times New Roman" w:hAnsi="Times New Roman"/>
                <w:sz w:val="20"/>
                <w:szCs w:val="20"/>
                <w:lang w:val="sk-SK"/>
              </w:rPr>
              <w:t>,</w:t>
            </w:r>
            <w:r w:rsidRPr="007F5B6A">
              <w:rPr>
                <w:rFonts w:ascii="Times New Roman" w:hAnsi="Times New Roman"/>
                <w:sz w:val="20"/>
                <w:szCs w:val="20"/>
                <w:lang w:val="sk-SK"/>
              </w:rPr>
              <w:t> 7.4</w:t>
            </w:r>
            <w:r w:rsidR="00C5676A" w:rsidRPr="007F5B6A">
              <w:rPr>
                <w:rFonts w:ascii="Times New Roman" w:hAnsi="Times New Roman"/>
                <w:sz w:val="20"/>
                <w:szCs w:val="20"/>
                <w:lang w:val="sk-SK"/>
              </w:rPr>
              <w:t xml:space="preserve"> </w:t>
            </w:r>
            <w:r w:rsidRPr="007F5B6A">
              <w:rPr>
                <w:rFonts w:ascii="Times New Roman" w:hAnsi="Times New Roman"/>
                <w:sz w:val="20"/>
                <w:szCs w:val="20"/>
                <w:lang w:val="sk-SK"/>
              </w:rPr>
              <w:t xml:space="preserve"> a 19. Viď vyhodnotenie pripomienky č. 6 a 7.</w:t>
            </w:r>
          </w:p>
          <w:p w:rsidR="00E91F7C" w:rsidRPr="007F5B6A" w:rsidRDefault="00E91F7C" w:rsidP="00242D86">
            <w:pPr>
              <w:spacing w:after="0" w:line="240" w:lineRule="auto"/>
              <w:rPr>
                <w:rFonts w:ascii="Times New Roman" w:hAnsi="Times New Roman"/>
                <w:b/>
                <w:sz w:val="20"/>
                <w:szCs w:val="20"/>
                <w:lang w:val="sk-SK"/>
              </w:rPr>
            </w:pPr>
            <w:r w:rsidRPr="007F5B6A">
              <w:rPr>
                <w:rFonts w:ascii="Times New Roman" w:hAnsi="Times New Roman"/>
                <w:sz w:val="20"/>
                <w:szCs w:val="20"/>
                <w:lang w:val="sk-SK"/>
              </w:rPr>
              <w:t>Efektívnejšia inklúzia marginalizovaných skupín obyvateľstva, vrátane MRK, bude podporovaná aj cieleným informovaním prostredníctvom NSRV SR</w:t>
            </w:r>
            <w:r w:rsidR="00242D86" w:rsidRPr="007F5B6A">
              <w:rPr>
                <w:rFonts w:ascii="Times New Roman" w:hAnsi="Times New Roman"/>
                <w:sz w:val="20"/>
                <w:szCs w:val="20"/>
                <w:lang w:val="sk-SK"/>
              </w:rPr>
              <w:t>,</w:t>
            </w:r>
            <w:r w:rsidRPr="007F5B6A">
              <w:rPr>
                <w:rFonts w:ascii="Times New Roman" w:hAnsi="Times New Roman"/>
                <w:sz w:val="20"/>
                <w:szCs w:val="20"/>
                <w:lang w:val="sk-SK"/>
              </w:rPr>
              <w:t xml:space="preserve"> ako aj aktivitami financovanými z </w:t>
            </w:r>
            <w:r w:rsidR="00242D86" w:rsidRPr="007F5B6A">
              <w:rPr>
                <w:rFonts w:ascii="Times New Roman" w:hAnsi="Times New Roman"/>
                <w:sz w:val="20"/>
                <w:szCs w:val="20"/>
                <w:lang w:val="sk-SK"/>
              </w:rPr>
              <w:t>t</w:t>
            </w:r>
            <w:r w:rsidRPr="007F5B6A">
              <w:rPr>
                <w:rFonts w:ascii="Times New Roman" w:hAnsi="Times New Roman"/>
                <w:sz w:val="20"/>
                <w:szCs w:val="20"/>
                <w:lang w:val="sk-SK"/>
              </w:rPr>
              <w:t>echnickej pomoci.</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rural development policy should contribute to the inclusion of Roma and other marginalized groups (i.e. long-term unemployed and/or persons living in particularly deprived areas), facilitating their access to rural development measures (in particular M1, M6, M7, M19), and by using the possibilities offered by the selection process (criteria and scoring).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8A2674">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Opatrenie 1Prenos znalostí a informačné akcie využíva rovnosť príležitostí všetkých potenciálnych beneficientov a neaplikuje ani pozitívnu diskrimináciu MRK, ale dopomôže prostredníctvom vzdelávacích aktivít k zvýšeniu účasti obyvateľov segregovaných a separovaných rómskych komunít ako i iných marginalizovaných skupín na vzdelávaní a odbornej príprave, čo dopomôže k ich začleneniu sa do ostatnej spoločnosti.</w:t>
            </w:r>
          </w:p>
          <w:p w:rsidR="00E91F7C" w:rsidRPr="007F5B6A" w:rsidRDefault="00E91F7C" w:rsidP="008A2674">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Rovnako tak aj v </w:t>
            </w:r>
            <w:r w:rsidR="00E81704" w:rsidRPr="007F5B6A">
              <w:rPr>
                <w:rFonts w:ascii="Times New Roman" w:hAnsi="Times New Roman"/>
                <w:sz w:val="20"/>
                <w:szCs w:val="20"/>
                <w:lang w:val="sk-SK"/>
              </w:rPr>
              <w:t>o</w:t>
            </w:r>
            <w:r w:rsidRPr="007F5B6A">
              <w:rPr>
                <w:rFonts w:ascii="Times New Roman" w:hAnsi="Times New Roman"/>
                <w:sz w:val="20"/>
                <w:szCs w:val="20"/>
                <w:lang w:val="sk-SK"/>
              </w:rPr>
              <w:t>patrení 2 Poradenské služby sú potenciálnymi konečnými prijímateľmi nefinančnej pomoci aj predstavitelia MRK.</w:t>
            </w:r>
          </w:p>
          <w:p w:rsidR="00E91F7C" w:rsidRPr="007F5B6A" w:rsidRDefault="00E91F7C" w:rsidP="00C5676A">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V rámci podopatrenia 6.4 je zabezpečená podpora marginalizovaných skupín samostatnou oprávnenou činnosťou zameranou na podporu občanov so zníženou schopnosťou pohybu, seniorov a detí, ktorá podporuje sociálnu inklúziu znevýhodnených skupín obyvateľstva.</w:t>
            </w:r>
          </w:p>
          <w:p w:rsidR="00C5676A" w:rsidRPr="007F5B6A" w:rsidRDefault="00C5676A" w:rsidP="00516577">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 xml:space="preserve">V opatreniach 7 (resp. podopatreniach 7.2, 7.4  a 19 – je povinne uplatňovaný sociálny aspekt pri VO, navyše boli doplnené princípy do výberu projektov v oblasti uľahčenia prístupu podpory marginalizovaných skupín. Sociálny aspekt pri VO je bližšie špecifikovaný pri opatrení  7 v časti „Iné dôležité poznámky“ a pri opatrení 19 v časti „podmienky oprávnenosti“ v podopatrení 19.2. Pri opatrení 19 je tiež výberové kritérium pre výber MAS, ktoré zohľadňuje inklúziu marginalizovaných skupín vrátane MRK.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technical assistance and national rural network structure could be used for organising studies on areas with important Roma population and other complementary measures like training for submitting the applications, designing the projects and business plans, hiring new staff/advisors or using staff in ministries for the above purposes, etc.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1567ED">
            <w:pPr>
              <w:widowControl/>
              <w:spacing w:after="120" w:line="240" w:lineRule="auto"/>
              <w:rPr>
                <w:rFonts w:ascii="Times New Roman" w:hAnsi="Times New Roman"/>
                <w:b/>
                <w:i/>
                <w:sz w:val="20"/>
                <w:szCs w:val="20"/>
                <w:lang w:val="sk-SK"/>
              </w:rPr>
            </w:pPr>
            <w:r w:rsidRPr="007F5B6A">
              <w:rPr>
                <w:rFonts w:ascii="Times New Roman" w:hAnsi="Times New Roman"/>
                <w:sz w:val="20"/>
                <w:szCs w:val="20"/>
                <w:lang w:val="sk-SK"/>
              </w:rPr>
              <w:t xml:space="preserve">V rámci aktivít </w:t>
            </w:r>
            <w:r w:rsidR="001567ED" w:rsidRPr="007F5B6A">
              <w:rPr>
                <w:rFonts w:ascii="Times New Roman" w:hAnsi="Times New Roman"/>
                <w:sz w:val="20"/>
                <w:szCs w:val="20"/>
                <w:lang w:val="sk-SK"/>
              </w:rPr>
              <w:t xml:space="preserve">technickej pomoci, ako aj </w:t>
            </w:r>
            <w:r w:rsidRPr="007F5B6A">
              <w:rPr>
                <w:rFonts w:ascii="Times New Roman" w:hAnsi="Times New Roman"/>
                <w:sz w:val="20"/>
                <w:szCs w:val="20"/>
                <w:lang w:val="sk-SK"/>
              </w:rPr>
              <w:t>NSRV bol doplnený samostatný bod týkajúci sa aktivít pre marginalizované skupin</w:t>
            </w:r>
            <w:r w:rsidR="001567ED" w:rsidRPr="007F5B6A">
              <w:rPr>
                <w:rFonts w:ascii="Times New Roman" w:hAnsi="Times New Roman"/>
                <w:sz w:val="20"/>
                <w:szCs w:val="20"/>
                <w:lang w:val="sk-SK"/>
              </w:rPr>
              <w:t>y.</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Geographical area covered (Section 2 of RDP)</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classification of Slovakian regions, according to Commission Implementing Decision 2014/99/EU should be added.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F0E5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Vo SWOT analýze boli doplnené menej rozvinuté regióny SR zo zoznamu podľa </w:t>
            </w:r>
            <w:r w:rsidR="00EF0E56" w:rsidRPr="007F5B6A">
              <w:rPr>
                <w:rFonts w:ascii="Times New Roman" w:hAnsi="Times New Roman"/>
                <w:sz w:val="20"/>
                <w:szCs w:val="20"/>
                <w:lang w:val="sk-SK"/>
              </w:rPr>
              <w:t>v</w:t>
            </w:r>
            <w:r w:rsidRPr="007F5B6A">
              <w:rPr>
                <w:rFonts w:ascii="Times New Roman" w:hAnsi="Times New Roman"/>
                <w:sz w:val="20"/>
                <w:szCs w:val="20"/>
                <w:lang w:val="sk-SK"/>
              </w:rPr>
              <w:t>ykonávacieho rozhodnutia Komisie 2014/99/EÚ.</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Ex-ante evaluation (Section 3 of RDP)</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clearly how the recommendations of the ex-ante evaluator were taken into account in pointing out the concrete actions or make a reference to them (e.g. to indicate where the reinforcement of administrative capacities is described in the RDP). All the ex-ante recommendations should be assessed in the RDP, including the justification of the non-accepted ones.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E91F7C" w:rsidRPr="007F5B6A" w:rsidRDefault="00E91F7C"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Za neprojektové  aj projektové opatrenia b</w:t>
            </w:r>
            <w:r w:rsidR="001E6CA2" w:rsidRPr="007F5B6A">
              <w:rPr>
                <w:rFonts w:ascii="Times New Roman" w:hAnsi="Times New Roman"/>
                <w:sz w:val="20"/>
                <w:szCs w:val="20"/>
                <w:lang w:val="sk-SK"/>
              </w:rPr>
              <w:t>olo</w:t>
            </w:r>
            <w:r w:rsidRPr="007F5B6A">
              <w:rPr>
                <w:rFonts w:ascii="Times New Roman" w:hAnsi="Times New Roman"/>
                <w:sz w:val="20"/>
                <w:szCs w:val="20"/>
                <w:lang w:val="sk-SK"/>
              </w:rPr>
              <w:t xml:space="preserve">  doplnené  do programu.</w:t>
            </w:r>
          </w:p>
          <w:p w:rsidR="00E91F7C" w:rsidRPr="007F5B6A" w:rsidRDefault="00E91F7C" w:rsidP="00E91F7C">
            <w:pPr>
              <w:spacing w:after="0" w:line="240" w:lineRule="auto"/>
              <w:rPr>
                <w:rFonts w:ascii="Times New Roman" w:hAnsi="Times New Roman"/>
                <w:sz w:val="20"/>
                <w:szCs w:val="20"/>
                <w:lang w:val="sk-SK"/>
              </w:rPr>
            </w:pP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SEA should be completed with information on public consultation (when it was launched and for how long it lasted, the comments of the public and environmental authorities consulted, and how these will be taken into account). The non-technical summary omits numerous elements required in Annex I of SEA Directive. The Slovak authorities should provide a summary of the recommendations taken into account and justify those not reflected. The complete SEA should be provided with the next revised version of the RDP.</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E91F7C" w:rsidRPr="007F5B6A" w:rsidRDefault="00E91F7C"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 o informácie o verejnej diskusii, zhrnutie zohľadnených odporúčaní a odôvodenie, prečo ostatné odporúčania zohľadnené neboli.</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SWOT and identification of needs (Section 4 of RDP)</w:t>
            </w:r>
          </w:p>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SWOT</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All RD priorities and cross-cutting objectives are addressed in the analysis. However, some environmental aspects such as soil erosion, impact of intensive agriculture, integrated production, organic farming, animal welfare and innovation as horizontal objective are addressed in very limited way.  </w:t>
            </w:r>
          </w:p>
        </w:tc>
        <w:tc>
          <w:tcPr>
            <w:tcW w:w="296" w:type="pct"/>
            <w:shd w:val="clear" w:color="auto" w:fill="FFFFFF" w:themeFill="background1"/>
            <w:vAlign w:val="center"/>
          </w:tcPr>
          <w:p w:rsidR="00E91F7C" w:rsidRPr="007F5B6A" w:rsidRDefault="00E91F7C" w:rsidP="00E91F7C">
            <w:pPr>
              <w:spacing w:after="0" w:line="240" w:lineRule="auto"/>
              <w:jc w:val="center"/>
              <w:rPr>
                <w:rFonts w:ascii="Times New Roman" w:hAnsi="Times New Roman"/>
                <w:b/>
                <w:sz w:val="20"/>
                <w:szCs w:val="20"/>
              </w:rPr>
            </w:pPr>
            <w:r w:rsidRPr="007F5B6A">
              <w:rPr>
                <w:rFonts w:ascii="Times New Roman" w:hAnsi="Times New Roman"/>
                <w:b/>
                <w:sz w:val="20"/>
                <w:szCs w:val="20"/>
              </w:rPr>
              <w:t>A</w:t>
            </w:r>
          </w:p>
          <w:p w:rsidR="00E91F7C" w:rsidRPr="007F5B6A" w:rsidRDefault="00E91F7C"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E91F7C" w:rsidRPr="007F5B6A" w:rsidRDefault="00E91F7C" w:rsidP="001E6CA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Bol doplnený príslušný text.</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use EUROSTAT indicators and the harmonised spatial definitions (e.g. NUTS, LAU) to the extent possible for program specific indicators, except for indicators where national definitions are used for territorial analysis or for the implementation of RDP (e.g. national definition of rural areas).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eastAsia="sk-SK"/>
              </w:rPr>
            </w:pPr>
            <w:r w:rsidRPr="007F5B6A">
              <w:rPr>
                <w:rFonts w:ascii="Times New Roman" w:hAnsi="Times New Roman"/>
                <w:sz w:val="20"/>
                <w:szCs w:val="20"/>
                <w:lang w:val="sk-SK" w:eastAsia="sk-SK"/>
              </w:rPr>
              <w:t xml:space="preserve">Pri spracovaní požadovaných špecifických programových ukazovateľov sme prioritne čerpali z údajov databázy Eurostat.  </w:t>
            </w:r>
          </w:p>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eastAsia="sk-SK"/>
              </w:rPr>
              <w:t>A v prípadoch, keď ukazovatele z EUROSTAT-u neboli k dispozícii alebo neboli dostatočne vyčerpávajúce pre podmienky SR, sme pre bližšiu špecifikáciu  vychádzali z národných zdrojov údajov (najmä ŠÚ SR, Informačné listy MPRV SR, NPPC-VÚEPP a i.).</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When mentioning data on farmland birds, the trend of forest birds could be mentioned as well, as birds are the best study group of fauna and can act as representative sample for evaluation of trends in biodiversity maintenance/loss. It is also relevant in the light of high forest coverage in Slovakia to assess forest biodiversity.</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6160D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Požadované bolo doplnené do textu SWOT analýzy.</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analysis on nitrate vulnerable zones should take into account the on-going infringement on this issue and should also refer to the context indicator showing that 9,8 % of sites show poor groundwater quality in terms of nitrates pollution.</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Text bol upravený v príslušnej časti.</w:t>
            </w:r>
          </w:p>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Podľa  prvých predbežných výsledkov v rámci prebiehajúcej diskusie s EK sa zahustila monitorovacia sieť a cielený monitoring zraniteľných oblastí. Trendy preukazujú zlepšenie kvalitatívnych vlastností podzemných a povrchových vôd. SR v súčasnosti čaká na oficiálnu odpoveď EK k reakcii SR, ktorá bola zaslaná vo februári 2014.</w:t>
            </w:r>
          </w:p>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Na základe nameraných hodnôt je možné konštatovať, že v povrchových vodách sú priemerné hodnoty ročnej koncentrácie dusičnanov v SR nižšie ako limit </w:t>
            </w:r>
            <w:r w:rsidRPr="007F5B6A">
              <w:rPr>
                <w:rFonts w:ascii="Times New Roman" w:hAnsi="Times New Roman"/>
                <w:sz w:val="20"/>
                <w:szCs w:val="20"/>
                <w:u w:val="single"/>
                <w:lang w:val="sk-SK"/>
              </w:rPr>
              <w:t xml:space="preserve">11,3 mg-N/l </w:t>
            </w:r>
            <w:r w:rsidRPr="007F5B6A">
              <w:rPr>
                <w:rFonts w:ascii="Times New Roman" w:hAnsi="Times New Roman"/>
                <w:sz w:val="20"/>
                <w:szCs w:val="20"/>
                <w:lang w:val="sk-SK"/>
              </w:rPr>
              <w:t>(ekvivalent k 50 mg-NO</w:t>
            </w:r>
            <w:r w:rsidRPr="007F5B6A">
              <w:rPr>
                <w:rFonts w:ascii="Times New Roman" w:hAnsi="Times New Roman"/>
                <w:sz w:val="20"/>
                <w:szCs w:val="20"/>
                <w:vertAlign w:val="subscript"/>
                <w:lang w:val="sk-SK"/>
              </w:rPr>
              <w:t>3</w:t>
            </w:r>
            <w:r w:rsidRPr="007F5B6A">
              <w:rPr>
                <w:rFonts w:ascii="Times New Roman" w:hAnsi="Times New Roman"/>
                <w:sz w:val="20"/>
                <w:szCs w:val="20"/>
                <w:lang w:val="sk-SK"/>
              </w:rPr>
              <w:t>/l) podľa nitrátovej smernice (smernica Rady: 91/676/EEC) a smernice o pitnej vode (smernica Rady: 98/83/EC). Ročná priemerná koncentrácia dusičnanov v povrchových vodách SR v r. 2011 predstavovala 1,7 mg-N/l (EEA).</w:t>
            </w:r>
          </w:p>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Taktiež aj priemerné hodnoty ročnej koncentrácie dusičnanov v podzemných vodách za SR podľa nitrátovej smernice (smernica Rady: 91/676/EEC) a smernice o pitnej vode (smernica Rady: 98/83/EC) sú stále nižšie ako 25 mg/l NO</w:t>
            </w:r>
            <w:r w:rsidRPr="007F5B6A">
              <w:rPr>
                <w:rFonts w:ascii="Times New Roman" w:hAnsi="Times New Roman"/>
                <w:sz w:val="20"/>
                <w:szCs w:val="20"/>
                <w:vertAlign w:val="subscript"/>
                <w:lang w:val="sk-SK"/>
              </w:rPr>
              <w:t>3</w:t>
            </w:r>
            <w:r w:rsidRPr="007F5B6A">
              <w:rPr>
                <w:rFonts w:ascii="Times New Roman" w:hAnsi="Times New Roman"/>
                <w:sz w:val="20"/>
                <w:szCs w:val="20"/>
                <w:lang w:val="sk-SK"/>
              </w:rPr>
              <w:t>, ktoré sú považované za nízke a sú klasifikované ako vody vysokej kvality al. vody s nízkym znečistením. Ročná priemerná koncentrácia dusičnanov v podzemných vodách v r. 2011 predstavovala 16,6 mg/l NO</w:t>
            </w:r>
            <w:r w:rsidRPr="007F5B6A">
              <w:rPr>
                <w:rFonts w:ascii="Times New Roman" w:hAnsi="Times New Roman"/>
                <w:sz w:val="20"/>
                <w:szCs w:val="20"/>
                <w:vertAlign w:val="subscript"/>
                <w:lang w:val="sk-SK"/>
              </w:rPr>
              <w:t>3</w:t>
            </w:r>
          </w:p>
          <w:p w:rsidR="00E91F7C" w:rsidRPr="007F5B6A" w:rsidRDefault="00E91F7C" w:rsidP="001E6CA2">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SR dodržiava záväzné pravidlá a požiadavky na udržanie, resp. zlepšenie ekologického stavu vôd a umožňuje dosiahnutie dobrého stavu podľa Rámcovej smernice o vode (Smernica 2000/60/ES európskeho parlamentu a Rady z 23. </w:t>
            </w:r>
            <w:r w:rsidR="001E6CA2" w:rsidRPr="007F5B6A">
              <w:rPr>
                <w:rFonts w:ascii="Times New Roman" w:hAnsi="Times New Roman"/>
                <w:sz w:val="20"/>
                <w:szCs w:val="20"/>
                <w:lang w:val="sk-SK"/>
              </w:rPr>
              <w:t>o</w:t>
            </w:r>
            <w:r w:rsidRPr="007F5B6A">
              <w:rPr>
                <w:rFonts w:ascii="Times New Roman" w:hAnsi="Times New Roman"/>
                <w:sz w:val="20"/>
                <w:szCs w:val="20"/>
                <w:lang w:val="sk-SK"/>
              </w:rPr>
              <w:t>któbra 2000).</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Prioritized Action Framework (PAF) establishing the specific needs of NATURA2000 areas was submitted to the Commission a few months ago and should be used as basis for strategic choices. The information in this regard on page 38 should be corrected.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E91F7C" w:rsidRPr="007F5B6A" w:rsidRDefault="00630B9E"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PAF nemôže tvoriť základ pre strategické rozhodovanie, pretože je to materiál schválený iba na úrovni MŽP SR a nezaväzuje ostatné rezorty jeho plnením.</w:t>
            </w:r>
          </w:p>
          <w:p w:rsidR="00630B9E" w:rsidRPr="007F5B6A" w:rsidRDefault="00630B9E"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 xml:space="preserve">Strategickými </w:t>
            </w:r>
            <w:r w:rsidR="00020A3B" w:rsidRPr="007F5B6A">
              <w:rPr>
                <w:rFonts w:ascii="Times New Roman" w:hAnsi="Times New Roman"/>
                <w:bCs/>
                <w:sz w:val="20"/>
                <w:szCs w:val="20"/>
                <w:lang w:val="sk-SK"/>
              </w:rPr>
              <w:t>dokumentmi</w:t>
            </w:r>
            <w:r w:rsidRPr="007F5B6A">
              <w:rPr>
                <w:rFonts w:ascii="Times New Roman" w:hAnsi="Times New Roman"/>
                <w:bCs/>
                <w:sz w:val="20"/>
                <w:szCs w:val="20"/>
                <w:lang w:val="sk-SK"/>
              </w:rPr>
              <w:t xml:space="preserve"> pre oblasť bi</w:t>
            </w:r>
            <w:r w:rsidR="00020A3B" w:rsidRPr="007F5B6A">
              <w:rPr>
                <w:rFonts w:ascii="Times New Roman" w:hAnsi="Times New Roman"/>
                <w:bCs/>
                <w:sz w:val="20"/>
                <w:szCs w:val="20"/>
                <w:lang w:val="sk-SK"/>
              </w:rPr>
              <w:t>odiverzity (a tým aj území Natura 2000), ktoré boli schválené vládou SR, sú:</w:t>
            </w:r>
          </w:p>
          <w:p w:rsidR="00020A3B" w:rsidRPr="007F5B6A" w:rsidRDefault="00020A3B" w:rsidP="00020A3B">
            <w:pPr>
              <w:widowControl/>
              <w:numPr>
                <w:ilvl w:val="0"/>
                <w:numId w:val="16"/>
              </w:numPr>
              <w:spacing w:after="0" w:line="240" w:lineRule="auto"/>
              <w:ind w:left="317" w:hanging="283"/>
              <w:rPr>
                <w:rFonts w:ascii="Times New Roman" w:hAnsi="Times New Roman"/>
                <w:sz w:val="20"/>
                <w:szCs w:val="20"/>
                <w:lang w:val="sk-SK"/>
              </w:rPr>
            </w:pPr>
            <w:r w:rsidRPr="007F5B6A">
              <w:rPr>
                <w:rFonts w:ascii="Times New Roman" w:hAnsi="Times New Roman"/>
                <w:bCs/>
                <w:sz w:val="20"/>
                <w:szCs w:val="20"/>
                <w:lang w:val="sk-SK"/>
              </w:rPr>
              <w:t>Aktualizovaná národná stratégia ochrany biodiverzity do roku 2020 (UV SR č. 12 z 8.1.2014)</w:t>
            </w:r>
          </w:p>
          <w:p w:rsidR="00020A3B" w:rsidRPr="007F5B6A" w:rsidRDefault="00020A3B" w:rsidP="00020A3B">
            <w:pPr>
              <w:widowControl/>
              <w:numPr>
                <w:ilvl w:val="0"/>
                <w:numId w:val="16"/>
              </w:numPr>
              <w:spacing w:after="0" w:line="240" w:lineRule="auto"/>
              <w:ind w:left="317" w:hanging="283"/>
              <w:rPr>
                <w:rFonts w:ascii="Times New Roman" w:hAnsi="Times New Roman"/>
                <w:sz w:val="20"/>
                <w:szCs w:val="20"/>
                <w:lang w:val="sk-SK"/>
              </w:rPr>
            </w:pPr>
            <w:r w:rsidRPr="007F5B6A">
              <w:rPr>
                <w:rFonts w:ascii="Times New Roman" w:hAnsi="Times New Roman"/>
                <w:bCs/>
                <w:sz w:val="20"/>
                <w:szCs w:val="20"/>
                <w:lang w:val="sk-SK"/>
              </w:rPr>
              <w:t>Akčný plán pre implementáciu opatrení vyplývajúcich z Aktualizovanej národnej stratégie ochrany biodiverzity do roku 2020 (UV SR č.442 z 10.9.2014).</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SK authorities submitted to DG AGRI the draft methodology for HNV indicator in May 2010. Slovakia should provide this updated methodology as an annex to the RDP.</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A50CC9">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Návrh novej metodiky HNV tvor</w:t>
            </w:r>
            <w:r w:rsidR="00A50CC9" w:rsidRPr="007F5B6A">
              <w:rPr>
                <w:rFonts w:ascii="Times New Roman" w:hAnsi="Times New Roman"/>
                <w:sz w:val="20"/>
                <w:szCs w:val="20"/>
                <w:lang w:val="sk-SK"/>
              </w:rPr>
              <w:t>í</w:t>
            </w:r>
            <w:r w:rsidRPr="007F5B6A">
              <w:rPr>
                <w:rFonts w:ascii="Times New Roman" w:hAnsi="Times New Roman"/>
                <w:sz w:val="20"/>
                <w:szCs w:val="20"/>
                <w:lang w:val="sk-SK"/>
              </w:rPr>
              <w:t xml:space="preserve"> prílohu programu.</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Organic farming covers 9 % of the UAA and would receive important support (90 MEUR) under the RDP. The situation of the sector should be better described, including a comprehensive strategy for the future of this sector.</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Podrobnejšie údaje o vývoj výmery p.p. evidovanej v EPV poľnohospodárskej pôdy podľa druhu pozemku evidovanej v EPV a počte registrovaných prevádzkovateľov v EP  sú uvedené v prílohe 1, tabuľky č.14 a 15. Ucelená stratégia bude pripravená v r.2015.</w:t>
            </w:r>
          </w:p>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bCs/>
                <w:sz w:val="20"/>
                <w:szCs w:val="20"/>
                <w:lang w:val="sk-SK"/>
              </w:rPr>
              <w:t>Upravený a doplnený text v opatrení.</w:t>
            </w:r>
          </w:p>
          <w:p w:rsidR="00E91F7C" w:rsidRPr="007F5B6A" w:rsidRDefault="00E91F7C"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Vo  SWOT je doplnené zhodnotenie situácie v EPV v SR. SWOT analýza bola zosúladená.</w:t>
            </w:r>
          </w:p>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Upravený a doplnený text v</w:t>
            </w:r>
            <w:r w:rsidR="001E6CA2" w:rsidRPr="007F5B6A">
              <w:rPr>
                <w:rFonts w:ascii="Times New Roman" w:hAnsi="Times New Roman"/>
                <w:bCs/>
                <w:sz w:val="20"/>
                <w:szCs w:val="20"/>
                <w:lang w:val="sk-SK"/>
              </w:rPr>
              <w:t> </w:t>
            </w:r>
            <w:r w:rsidRPr="007F5B6A">
              <w:rPr>
                <w:rFonts w:ascii="Times New Roman" w:hAnsi="Times New Roman"/>
                <w:bCs/>
                <w:sz w:val="20"/>
                <w:szCs w:val="20"/>
                <w:lang w:val="sk-SK"/>
              </w:rPr>
              <w:t>opatrení</w:t>
            </w:r>
            <w:r w:rsidR="001E6CA2" w:rsidRPr="007F5B6A">
              <w:rPr>
                <w:rFonts w:ascii="Times New Roman" w:hAnsi="Times New Roman"/>
                <w:bCs/>
                <w:sz w:val="20"/>
                <w:szCs w:val="20"/>
                <w:lang w:val="sk-SK"/>
              </w:rPr>
              <w:t>.</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SWOT analysis indicates that low profitability of forests exploitation does not allow the extension and mechanization of this activity. Slovakia should further analyses the growth potential of forest sector in view of increasing added value, and also describe the forest areas under high/medium fire risk and include information on forest protection plans which are the basis for their classification.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2715EF"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 rámci všeobecného opisu opatrenia 8 bola doplnená analýza stavu lesnej techniky, ako aj potenciál rastu pridanej hodnoty v lesnom hospodárstve. V rámci klasifikácie lesných oblastí podľa stupňa ohrozenia požiarom, bola prepracovaná metodika klasifikácie lesných oblastí, ktorá je súčasťou vyhlášky č. 453/2006 Z. z. o hospodárskej úprave lesov a o ochrane lesa a vypracovaný Národný plán ochrany lesov.</w:t>
            </w:r>
            <w:r w:rsidRPr="007F5B6A">
              <w:rPr>
                <w:rFonts w:ascii="Times New Roman" w:hAnsi="Times New Roman"/>
                <w:lang w:val="sk-SK"/>
              </w:rPr>
              <w:t xml:space="preserve">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Transfer of knowledge: Slovakia should complete the analysis on the current situation of knowledge transfer and knowledge base in rural areas.   </w:t>
            </w:r>
          </w:p>
        </w:tc>
        <w:tc>
          <w:tcPr>
            <w:tcW w:w="296" w:type="pct"/>
            <w:shd w:val="clear" w:color="auto" w:fill="FFFFFF" w:themeFill="background1"/>
            <w:vAlign w:val="center"/>
          </w:tcPr>
          <w:p w:rsidR="00E91F7C" w:rsidRPr="007F5B6A" w:rsidRDefault="0051657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RO PRV vychádza z údajov Analýzy potrieb ďalšieho vzdelávania v rezorte pôdohospodárstva z marca  2014, ktorá bola spracovaná formou prieskumu. Jej hlavným cieľom bolo identifikovať hlavné témy vzdelávania a poradenstva, prekážky   v rozvoji ďalšieho vzdelávania, informovať o poskytovateľoch i prijímateľoch vzdelávacích služieb, formách a metódach  využívaných pri realizácii vzdelávacích a informačných aktivít v PRV 2007-2013, ako i názoroch na aktivity vhodné pre naplnenie cieľov priorít PRV 2014-2020.</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SWOT analysis and need assessment of ICT/Broadband development in rural areas should be updated with more recent figures and should specify the complementary with broadband deployment under OP Integrated infrastructure.</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Bolo upravené a doplnené v príslušnej časti v SWOT analýze - “Používanie internetu, počítačová gramotnosť”.</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current length and density of forest roads should be indicated as baseline of FA2C, and a target value (density) should be established. The planned output for forest roads investments should be indicated.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pStyle w:val="Bezriadkovania"/>
              <w:ind w:left="30"/>
              <w:rPr>
                <w:rFonts w:ascii="Times New Roman" w:hAnsi="Times New Roman"/>
                <w:sz w:val="20"/>
                <w:szCs w:val="20"/>
              </w:rPr>
            </w:pPr>
            <w:r w:rsidRPr="007F5B6A">
              <w:rPr>
                <w:rFonts w:ascii="Times New Roman" w:hAnsi="Times New Roman"/>
                <w:sz w:val="20"/>
                <w:szCs w:val="20"/>
              </w:rPr>
              <w:t>Na optimálne sprístupnenie lesov chýba v rámci lesov Slovenska dobudovať ešte asi</w:t>
            </w:r>
            <w:r w:rsidRPr="007F5B6A">
              <w:rPr>
                <w:rFonts w:ascii="Times New Roman" w:hAnsi="Times New Roman"/>
                <w:sz w:val="20"/>
                <w:szCs w:val="20"/>
              </w:rPr>
              <w:br/>
              <w:t xml:space="preserve">3 000 – 5 000 km lesných ciest kategórie 1L a 2L /pevných odvozných ciest/, čo znamená, </w:t>
            </w:r>
            <w:r w:rsidRPr="007F5B6A">
              <w:rPr>
                <w:rFonts w:ascii="Times New Roman" w:hAnsi="Times New Roman"/>
                <w:sz w:val="20"/>
                <w:szCs w:val="20"/>
              </w:rPr>
              <w:br/>
              <w:t xml:space="preserve">že v sprístupňovaní lesov predstavuje najvyššiu prioritu lesného Pri sprístupňovaní horských lesov sa odporúča postupovať diferencovane, podľa kategórií lesov s tým, že v hospodárskych lesoch </w:t>
            </w:r>
            <w:r w:rsidRPr="007F5B6A">
              <w:rPr>
                <w:rFonts w:ascii="Times New Roman" w:hAnsi="Times New Roman"/>
                <w:sz w:val="20"/>
                <w:szCs w:val="20"/>
              </w:rPr>
              <w:br/>
              <w:t xml:space="preserve">sa uvažuje s hustotou lesných ciest </w:t>
            </w:r>
            <w:r w:rsidR="00516577" w:rsidRPr="007F5B6A">
              <w:rPr>
                <w:rFonts w:ascii="Times New Roman" w:hAnsi="Times New Roman"/>
                <w:sz w:val="20"/>
                <w:szCs w:val="20"/>
              </w:rPr>
              <w:t xml:space="preserve">cca </w:t>
            </w:r>
            <w:r w:rsidRPr="007F5B6A">
              <w:rPr>
                <w:rFonts w:ascii="Times New Roman" w:hAnsi="Times New Roman"/>
                <w:sz w:val="20"/>
                <w:szCs w:val="20"/>
              </w:rPr>
              <w:t>20</w:t>
            </w:r>
            <w:r w:rsidR="00DB503B" w:rsidRPr="007F5B6A">
              <w:rPr>
                <w:rFonts w:ascii="Times New Roman" w:hAnsi="Times New Roman"/>
                <w:sz w:val="20"/>
                <w:szCs w:val="20"/>
              </w:rPr>
              <w:t xml:space="preserve"> - 25</w:t>
            </w:r>
            <w:r w:rsidRPr="007F5B6A">
              <w:rPr>
                <w:rFonts w:ascii="Times New Roman" w:hAnsi="Times New Roman"/>
                <w:sz w:val="20"/>
                <w:szCs w:val="20"/>
              </w:rPr>
              <w:t xml:space="preserve"> m.ha-1 a pre ochranné lesy sa odporúča hustota 7–14 m.ha-1 lesných ciest.</w:t>
            </w:r>
          </w:p>
          <w:p w:rsidR="00E91F7C" w:rsidRPr="007F5B6A" w:rsidRDefault="00E91F7C" w:rsidP="001E6CA2">
            <w:pPr>
              <w:pStyle w:val="Bezriadkovania"/>
              <w:rPr>
                <w:rFonts w:ascii="Times New Roman" w:hAnsi="Times New Roman"/>
                <w:sz w:val="20"/>
                <w:szCs w:val="20"/>
              </w:rPr>
            </w:pPr>
            <w:r w:rsidRPr="007F5B6A">
              <w:rPr>
                <w:rFonts w:ascii="Times New Roman" w:hAnsi="Times New Roman"/>
                <w:sz w:val="20"/>
                <w:szCs w:val="20"/>
              </w:rPr>
              <w:t>Porovnanie hustoty lesných ciest v lesnícky vyspelých krajinách Európy je uvedené v časti ANALÝZA SWOT A IDENTIFIKÁCIA POTRIEB programu.</w:t>
            </w:r>
          </w:p>
          <w:p w:rsidR="00DB503B" w:rsidRPr="007F5B6A" w:rsidRDefault="00DB503B" w:rsidP="001E6CA2">
            <w:pPr>
              <w:pStyle w:val="Bezriadkovania"/>
              <w:rPr>
                <w:rFonts w:ascii="Times New Roman" w:hAnsi="Times New Roman"/>
                <w:b/>
                <w:sz w:val="20"/>
                <w:szCs w:val="20"/>
              </w:rPr>
            </w:pPr>
            <w:r w:rsidRPr="007F5B6A">
              <w:rPr>
                <w:rFonts w:ascii="Times New Roman" w:hAnsi="Times New Roman"/>
                <w:sz w:val="20"/>
                <w:szCs w:val="20"/>
              </w:rPr>
              <w:t>Plánovaný špecifický výstup pre lesné cesty bol stanovený na 250 km.</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update the data for Common Context Indicators with the latest available data, if available, at the national level.  The common context indicators number 35 and 37 of the table for indicators referred to in the SWOT analysis should be added.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Doplnené:</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35 Index poľných vtákov (FBI)</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Hodnota: 89,95 %</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Oddelenie: Index 2000=100</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Rok: 2012</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37 Poľnohospodárstvo s vysokou prírodnou hodnotou</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Hodnota: 22,1 %</w:t>
            </w:r>
          </w:p>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Oddelenie:  % of total UAA</w:t>
            </w:r>
          </w:p>
          <w:p w:rsidR="00E91F7C" w:rsidRPr="007F5B6A" w:rsidRDefault="00020A3B" w:rsidP="00020A3B">
            <w:pPr>
              <w:widowControl/>
              <w:spacing w:after="0" w:line="240" w:lineRule="auto"/>
              <w:rPr>
                <w:rFonts w:ascii="Times New Roman" w:hAnsi="Times New Roman"/>
                <w:b/>
                <w:sz w:val="20"/>
                <w:szCs w:val="20"/>
                <w:lang w:val="sk-SK"/>
              </w:rPr>
            </w:pPr>
            <w:r w:rsidRPr="007F5B6A">
              <w:rPr>
                <w:rFonts w:ascii="Times New Roman" w:hAnsi="Times New Roman"/>
                <w:bCs/>
                <w:sz w:val="20"/>
                <w:szCs w:val="20"/>
                <w:lang w:val="sk-SK"/>
              </w:rPr>
              <w:t>Rok: 2014</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assessment of the SK commitment in reducing green-house gas (GHG) emissions should be in line with the assessment in the PA, which clearly shows that SK will overcome its commitment. The focus should in particular be on the SK binding GHG target (+13%), which is not mentioned in the text and is of the highest relevance as it includes sectors such as buildings, transport and agriculture.</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6160DB">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Záväzok</w:t>
            </w:r>
            <w:r w:rsidR="006160DB" w:rsidRPr="007F5B6A">
              <w:rPr>
                <w:rFonts w:ascii="Times New Roman" w:hAnsi="Times New Roman"/>
                <w:sz w:val="20"/>
                <w:szCs w:val="20"/>
                <w:lang w:val="sk-SK"/>
              </w:rPr>
              <w:t xml:space="preserve"> SR</w:t>
            </w:r>
            <w:r w:rsidRPr="007F5B6A">
              <w:rPr>
                <w:rFonts w:ascii="Times New Roman" w:hAnsi="Times New Roman"/>
                <w:sz w:val="20"/>
                <w:szCs w:val="20"/>
                <w:lang w:val="sk-SK"/>
              </w:rPr>
              <w:t xml:space="preserve"> znížiť produkciu skleníkových plynov </w:t>
            </w:r>
            <w:r w:rsidR="006160DB" w:rsidRPr="007F5B6A">
              <w:rPr>
                <w:rFonts w:ascii="Times New Roman" w:hAnsi="Times New Roman"/>
                <w:sz w:val="20"/>
                <w:szCs w:val="20"/>
                <w:lang w:val="sk-SK"/>
              </w:rPr>
              <w:t>v zmysle PD je uvedený</w:t>
            </w:r>
            <w:r w:rsidRPr="007F5B6A">
              <w:rPr>
                <w:rFonts w:ascii="Times New Roman" w:hAnsi="Times New Roman"/>
                <w:sz w:val="20"/>
                <w:szCs w:val="20"/>
                <w:lang w:val="sk-SK"/>
              </w:rPr>
              <w:t xml:space="preserve"> </w:t>
            </w:r>
            <w:r w:rsidR="006160DB" w:rsidRPr="007F5B6A">
              <w:rPr>
                <w:rFonts w:ascii="Times New Roman" w:hAnsi="Times New Roman"/>
                <w:sz w:val="20"/>
                <w:szCs w:val="20"/>
                <w:lang w:val="sk-SK"/>
              </w:rPr>
              <w:t>v</w:t>
            </w:r>
            <w:r w:rsidRPr="007F5B6A">
              <w:rPr>
                <w:rFonts w:ascii="Times New Roman" w:hAnsi="Times New Roman"/>
                <w:sz w:val="20"/>
                <w:szCs w:val="20"/>
                <w:lang w:val="sk-SK"/>
              </w:rPr>
              <w:t xml:space="preserve"> text</w:t>
            </w:r>
            <w:r w:rsidR="006160DB" w:rsidRPr="007F5B6A">
              <w:rPr>
                <w:rFonts w:ascii="Times New Roman" w:hAnsi="Times New Roman"/>
                <w:sz w:val="20"/>
                <w:szCs w:val="20"/>
                <w:lang w:val="sk-SK"/>
              </w:rPr>
              <w:t>e SWOT</w:t>
            </w:r>
            <w:r w:rsidRPr="007F5B6A">
              <w:rPr>
                <w:rFonts w:ascii="Times New Roman" w:hAnsi="Times New Roman"/>
                <w:sz w:val="20"/>
                <w:szCs w:val="20"/>
                <w:lang w:val="sk-SK"/>
              </w:rPr>
              <w:t xml:space="preserve">.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SK target on energy efficiency was revised from 11% to 23% reduction of final energy consumption, and 20% reduction on primary energy consumption. The SWOT analysis should be adjusted accordingly.</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Príslušný text bol upravený a zapracovaný do SWOT analýzy.</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Reference should be made to SK Research and Innovation Strategy for Smart Specialisation and to relevant areas of specialisation and measures.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Príslušný text bol doplnený.</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Comments to the identified Strengths (SWOT):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growth potential of selected sectors in the food industry should be indicated under "opportunities". The potential of other sectors should be also considered. It remains unclear how this potential will be materialized in practice. The cooperation of the food sector with the primary agricultural sector is not evident neither from the strategy, nor from the targeting under the main measures (M04 and M16).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Upravené, uvedená silná stránka je presunutá do príležitostí.</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loss of biodiversity, even low, cannot be considered as strength, but as a weakness.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tabs>
                <w:tab w:val="left" w:pos="720"/>
              </w:tabs>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“nižší pokles biodiversity” bol vymazaný zo silnej stránky:</w:t>
            </w:r>
          </w:p>
          <w:p w:rsidR="00E91F7C" w:rsidRPr="007F5B6A" w:rsidRDefault="00E91F7C" w:rsidP="00975BC8">
            <w:pPr>
              <w:widowControl/>
              <w:numPr>
                <w:ilvl w:val="0"/>
                <w:numId w:val="5"/>
              </w:numPr>
              <w:tabs>
                <w:tab w:val="left" w:pos="175"/>
              </w:tabs>
              <w:adjustRightInd/>
              <w:spacing w:after="0" w:line="240" w:lineRule="auto"/>
              <w:ind w:left="175" w:hanging="141"/>
              <w:rPr>
                <w:rFonts w:ascii="Times New Roman" w:hAnsi="Times New Roman"/>
                <w:b/>
                <w:sz w:val="20"/>
                <w:szCs w:val="20"/>
                <w:lang w:val="sk-SK"/>
              </w:rPr>
            </w:pPr>
            <w:r w:rsidRPr="007F5B6A">
              <w:rPr>
                <w:rFonts w:ascii="Times New Roman" w:hAnsi="Times New Roman"/>
                <w:sz w:val="20"/>
                <w:szCs w:val="20"/>
                <w:lang w:val="sk-SK"/>
              </w:rPr>
              <w:t xml:space="preserve">zachovaný vysoký výskyt a rozmanitosť chránených druhov živočíchov a rastlín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Water quality: The SWOT analysis should be consistent with the RBMPs and with Need 12, where it is indicated that agriculture is a key contributor to water pollution. </w:t>
            </w:r>
          </w:p>
        </w:tc>
        <w:tc>
          <w:tcPr>
            <w:tcW w:w="296" w:type="pct"/>
            <w:shd w:val="clear" w:color="auto" w:fill="FFFFFF" w:themeFill="background1"/>
            <w:vAlign w:val="center"/>
          </w:tcPr>
          <w:p w:rsidR="00E91F7C" w:rsidRPr="007F5B6A" w:rsidRDefault="008A290D" w:rsidP="008A290D">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V zmysle odporúčaní EK (viď. pripomienku č. 34) ohľadom zjednodušenia programu, posúdenia vhodnosti  potrieb v spojitosti na priority RO a zváženia  počtu potrieb, bola táto potreba  č. 12 prepracovaná a vzhľadom na túto skutočnosť jej vyhodnotenie už nie je pre program relevantné. Potreby boli znížené na počet 15.</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Comments to the identified Weaknesses (SWOT):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"insufficient use of wood biomass on RES production" should be justified and explained, also in light of the inconsistencies highlighted above on the data provided on woody biomass potential in Slovakia. The SWOT analysis refers to the 30 % potential of use of RES, but not to the wood biomass and this could be misleading. The figures used (9.8% in 2010) should be updated. The progress should be assessed by comparing with the national mid-term target, not the EU average (need 15).</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2715EF" w:rsidP="00E91F7C">
            <w:pPr>
              <w:widowControl/>
              <w:tabs>
                <w:tab w:val="left" w:pos="720"/>
              </w:tabs>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Možnosť podpory využívania dreva ako zdroja energie bola z PRV odstránená a príslušné texty revidované.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"insufficient access to forests, missing forest roads for forest management and ensuring fire protection" should be better justified taking into account the progress made under the current programming period.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2715EF" w:rsidRPr="007F5B6A" w:rsidRDefault="002715EF" w:rsidP="002715EF">
            <w:pPr>
              <w:spacing w:after="0" w:line="240" w:lineRule="auto"/>
              <w:ind w:left="30"/>
              <w:rPr>
                <w:rFonts w:ascii="Times New Roman" w:hAnsi="Times New Roman"/>
                <w:sz w:val="20"/>
                <w:szCs w:val="20"/>
                <w:lang w:val="sk-SK"/>
              </w:rPr>
            </w:pPr>
            <w:r w:rsidRPr="007F5B6A">
              <w:rPr>
                <w:rFonts w:ascii="Times New Roman" w:hAnsi="Times New Roman"/>
                <w:sz w:val="20"/>
                <w:szCs w:val="20"/>
                <w:lang w:val="sk-SK"/>
              </w:rPr>
              <w:t>Aj napriek podpore výstavby lesných ciest v rámci opatrenia 226 je hustota lesných ciest na Slovensku najnižšia spomedzi porovnateľných  lesnícky vyspelých krajín Európy (viď. SWOT analýza PRV 2014-2020). Navyše aj vzhľadom na neukončenie PRV 2007-2013 nie je možné presne vymedziť podporenú dĺžku lesných ciest, ktoré boli budované za účelom protipožiarnej ochrany. Na optimálne sprístupnenie je potrebná hustota lesných ciest  v hospodárskych lesoch aspoň 20–25 m.ha-1 a pre ochranné lesy sa odporúča hustota 7–14 m.ha-1 lesných ciest. Hustota lesných ciest kategórie 1L a 2L bez rozdielu ich financovania stúpla od roku 2006 do roku 2013 len o 0,1 m/ha (Správa o LH v SR).  Tento zdanlivo malý nárast hustoty predmetných lesných ciest je zapríčinený aj tým, že väčšina podpory v rámci opatrenia 226 z PRV 2007-2013 bola orientovaná na rekonštrukciu  jestvujúcich lesných ciest, ktorých stav neumožňoval ich využitie na účel, kvôli ktorému boli vybudované. V rámci opatrenia 8 je výstavba lesných ciest oprávnená len ako prístup k vybudovaným objektov v rámci podopatrenia 8.3 (vybudovanie úseku na napojenie sa k lesnej cestnej sieti), čo zabezpečí ich efektívnejšie využívanie a efektívnejšiu prevenciu a ochranu lesných porastov.</w:t>
            </w:r>
          </w:p>
          <w:p w:rsidR="00E91F7C" w:rsidRPr="007F5B6A" w:rsidRDefault="002715EF" w:rsidP="00881A93">
            <w:pPr>
              <w:spacing w:after="0" w:line="240" w:lineRule="auto"/>
              <w:ind w:left="30"/>
              <w:rPr>
                <w:rFonts w:ascii="Times New Roman" w:hAnsi="Times New Roman"/>
                <w:b/>
                <w:sz w:val="20"/>
                <w:szCs w:val="20"/>
                <w:lang w:val="sk-SK"/>
              </w:rPr>
            </w:pPr>
            <w:r w:rsidRPr="007F5B6A">
              <w:rPr>
                <w:rFonts w:ascii="Times New Roman" w:hAnsi="Times New Roman"/>
                <w:sz w:val="20"/>
                <w:szCs w:val="20"/>
                <w:lang w:val="sk-SK"/>
              </w:rPr>
              <w:t xml:space="preserve">V rámci opatrenia 4 pôjde predovšetkým o rekonštrukciu ciest 3L na cesty 1L a 2L. V prípade výstavby nových lesných ciest </w:t>
            </w:r>
            <w:r w:rsidR="00881A93" w:rsidRPr="007F5B6A">
              <w:rPr>
                <w:rFonts w:ascii="Times New Roman" w:hAnsi="Times New Roman"/>
                <w:sz w:val="20"/>
                <w:szCs w:val="20"/>
                <w:lang w:val="sk-SK"/>
              </w:rPr>
              <w:t xml:space="preserve"> ako aj rekonštrukcie  z 3L na 1L a 2L </w:t>
            </w:r>
            <w:r w:rsidRPr="007F5B6A">
              <w:rPr>
                <w:rFonts w:ascii="Times New Roman" w:hAnsi="Times New Roman"/>
                <w:sz w:val="20"/>
                <w:szCs w:val="20"/>
                <w:lang w:val="sk-SK"/>
              </w:rPr>
              <w:t>bude výstavba obmedzená optimálnou hustotou lesných ciest (doplnené kritérium oprávnenosti do opatrenia 4</w:t>
            </w:r>
            <w:r w:rsidR="00404FB2"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explained how “water use in plant production is low and keeps decreasing” is a weakness. The statement should also reflect the need to maintain or improve the ecological status of waters and to allow achievement of WFD good status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Závlahy predstavujú účinný nástroj pri adaptácii RV na zmiernenie dopadov klimatických zmien. Závlahová infraštruktúra je </w:t>
            </w:r>
            <w:r w:rsidR="00345972" w:rsidRPr="007F5B6A">
              <w:rPr>
                <w:rFonts w:ascii="Times New Roman" w:hAnsi="Times New Roman"/>
                <w:sz w:val="20"/>
                <w:szCs w:val="20"/>
                <w:lang w:val="sk-SK"/>
              </w:rPr>
              <w:t>zastaraná</w:t>
            </w:r>
            <w:r w:rsidRPr="007F5B6A">
              <w:rPr>
                <w:rFonts w:ascii="Times New Roman" w:hAnsi="Times New Roman"/>
                <w:sz w:val="20"/>
                <w:szCs w:val="20"/>
                <w:lang w:val="sk-SK"/>
              </w:rPr>
              <w:t>, čo spôsobuje pokles zavlažovaných plôch a samotné využitie závlahovej vody. To má dosah na znižovanie úrod, vysúšanie pôdy, veternú eróziu. Všetky pod</w:t>
            </w:r>
            <w:r w:rsidR="00345972" w:rsidRPr="007F5B6A">
              <w:rPr>
                <w:rFonts w:ascii="Times New Roman" w:hAnsi="Times New Roman"/>
                <w:sz w:val="20"/>
                <w:szCs w:val="20"/>
                <w:lang w:val="sk-SK"/>
              </w:rPr>
              <w:t>p</w:t>
            </w:r>
            <w:r w:rsidRPr="007F5B6A">
              <w:rPr>
                <w:rFonts w:ascii="Times New Roman" w:hAnsi="Times New Roman"/>
                <w:sz w:val="20"/>
                <w:szCs w:val="20"/>
                <w:lang w:val="sk-SK"/>
              </w:rPr>
              <w:t xml:space="preserve">orené investície do závlahovej infraštruktúry musia mať vodoprávne rozhodnutia, ktoré sú v súlade s WFD. </w:t>
            </w:r>
          </w:p>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Bolo doplnené v príslušnom texte vo SWOT, čím by mala byť táto slabá stránka podložená:</w:t>
            </w:r>
          </w:p>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„Pokles využívania závlahových systémov, resp. aj ich dlhodobé nevyužívanie prispelo aj k zníženiu využívania závlahovej vody v rastlinnej výrobe.“</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Comments to the identified Opportunities (SWOT):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Opportunities for Priority 4 list also irrigation and water management as tools to improve main water protection. The Slovak authorities are invited to elaborate and substantiate the statement.</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345972"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Táto príležitosť bola odstránená.</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Comments to the identified Threats (SWOT):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References to the introduction of water pricing in Slovakia, or to the high coverage of NATURA 2000 as threats should be withdrawn or redrafted.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Ohrozenia týkajúce sa zavedenia určovania cien vody na SK alebo vysokého pokrytia územia oblasťami NATURA 2000 boli vymazané</w:t>
            </w:r>
            <w:r w:rsidR="00345972" w:rsidRPr="007F5B6A">
              <w:rPr>
                <w:rFonts w:ascii="Times New Roman" w:hAnsi="Times New Roman"/>
                <w:sz w:val="20"/>
                <w:szCs w:val="20"/>
                <w:lang w:val="sk-SK"/>
              </w:rPr>
              <w:t>.</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Needs assessment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21 needs proposed could be further simplified and restructured according to the area of challenge/gap and growth potential. One need could be linked to more than 1 focus area, so the number of needs could be below the number of focus areas.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Navrhnuté potreby boli prepracované a zlúčené. Celkový počet potrieb je 15.</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prioritization of needs should reflect the main challenges and growth potential identified in the analysis. The very low growth of agricultural productivity and low added value in the forestry (need 10 addresses only mobilization of wood) should be addressed among the main priorities.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Potreby boli prepracované a zoradené podľa dôležitosti.</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On Need 6 further elaboration is required as to why it is considered that it contributes to focus area 4a).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Vybudovaním spoločných zariadení sa prispeje k ochrane územia a tým aj k ochrane biodiverzity.</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Need 12 should address separately water quality and water retention capacity of the territory, as the latter one is addressing also floods and droughts.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Potreby boli prepracované, kvalita vody je oddelená od vodozádržnej kapacity územia</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Need 21 should take into account the complementarity of RDP with OP Integrated Infrastructure (Priority axis 7).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5069A0">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 rámci potreby Rozvoj IKT vo vidieckych obciach bol doplnený  text</w:t>
            </w:r>
            <w:r w:rsidR="005069A0" w:rsidRPr="007F5B6A">
              <w:rPr>
                <w:rFonts w:ascii="Times New Roman" w:hAnsi="Times New Roman"/>
                <w:sz w:val="20"/>
                <w:szCs w:val="20"/>
                <w:lang w:val="sk-SK"/>
              </w:rPr>
              <w:t xml:space="preserve"> do príslušnej časti.</w:t>
            </w:r>
            <w:r w:rsidRPr="007F5B6A">
              <w:rPr>
                <w:rFonts w:ascii="Times New Roman" w:hAnsi="Times New Roman"/>
                <w:sz w:val="20"/>
                <w:szCs w:val="20"/>
                <w:lang w:val="sk-SK"/>
              </w:rPr>
              <w:t xml:space="preserve">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39.</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Strategy (Section 5 of RDP)</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strategy is broad and lacks targeting. All the needs were selected to be addressed by the RDP and all the focus areas and almost all the possible measures. Therefore, the justification of selected needs, objectives, priorities and FAs should be revised. The references to the national strategies for agri-food sector, forestry and rural development should be added and the main objectives and targets should be incorporated into the programme. Further targeting and prioritization is necessary to align the strategy for agri-food sector with the Partnership Agreement for Slovakia (PA) and also taking into account the reduction of funds compared to the previous period.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1E6CA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PRV bol znížený počet FO, boli vynechané FO 5A, 5B, 5D.</w:t>
            </w:r>
          </w:p>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 stratégie bolo dopracované zdôvodnenie vybraných potrieb, referencie k národným stratégiám, cieľové hodnoty (targets).</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strategy is insufficiently detailed as regards the environment. It does not explain how exactly the problems and needs identified will be addressed. The same comment applies to the description of measure 10.</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E91F7C" w:rsidRPr="007F5B6A" w:rsidRDefault="00E91F7C"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Opis opatrenia 10 prepracovaný.</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In the absence of relevant data on energy efficiency in the agri-food sector, the actions foreseen under FA5B linked with energy efficiency could be covered by FA2A. The PA and SWOT analysis revealed that there is long-term positive trend in decreasing GHG from agriculture (5 % of total emissions in 2012).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Plánované operácie vo FO 5A, 5B a 5D budú riešené v rámci FO 2A.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values planned for targets and outputs seem insufficient to ensure that the impact of the programme will substantially improve the performance of the main sectors and resource efficiency in Slovakia. The additional planned outputs are missing for some actions (e.g. land consolidated (ha)) and should be indicated.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DB503B">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Cieľové hodnoty boli prehodnotené a zvýšené. Programovo špecifické ukazovatele týkajúce pozemkových úprav bol</w:t>
            </w:r>
            <w:r w:rsidR="00DB503B" w:rsidRPr="007F5B6A">
              <w:rPr>
                <w:rFonts w:ascii="Times New Roman" w:hAnsi="Times New Roman"/>
                <w:sz w:val="20"/>
                <w:szCs w:val="20"/>
                <w:lang w:val="sk-SK"/>
              </w:rPr>
              <w:t>i doplnené</w:t>
            </w:r>
            <w:r w:rsidRPr="007F5B6A">
              <w:rPr>
                <w:rFonts w:ascii="Times New Roman" w:hAnsi="Times New Roman"/>
                <w:sz w:val="20"/>
                <w:szCs w:val="20"/>
                <w:lang w:val="sk-SK"/>
              </w:rPr>
              <w:t>.</w:t>
            </w:r>
            <w:r w:rsidR="00B021AB" w:rsidRPr="007F5B6A">
              <w:rPr>
                <w:rFonts w:ascii="Times New Roman" w:hAnsi="Times New Roman"/>
                <w:sz w:val="20"/>
                <w:szCs w:val="20"/>
                <w:lang w:val="sk-SK"/>
              </w:rPr>
              <w:t xml:space="preserve"> Rovnako boli doplnené aj špecifické ukazovatele pre opatrenie 8.</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objective of fostering the competitiveness of agriculture and forestry sectors will be addressed by agricultural diversification, increasing the finalization of primary agricultural production, better integration of farmers into food supply chain, higher quality of products and better marketing and improved infrastructure in forests. These strategic lines should be better materialized in the strategy and in the relevant measures, through targeted types of operations and eligibility and selection criteria.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1E6CA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Stratégia b</w:t>
            </w:r>
            <w:r w:rsidR="001E6CA2" w:rsidRPr="007F5B6A">
              <w:rPr>
                <w:rFonts w:ascii="Times New Roman" w:hAnsi="Times New Roman"/>
                <w:sz w:val="20"/>
                <w:szCs w:val="20"/>
                <w:lang w:val="sk-SK"/>
              </w:rPr>
              <w:t>ola</w:t>
            </w:r>
            <w:r w:rsidRPr="007F5B6A">
              <w:rPr>
                <w:rFonts w:ascii="Times New Roman" w:hAnsi="Times New Roman"/>
                <w:sz w:val="20"/>
                <w:szCs w:val="20"/>
                <w:lang w:val="sk-SK"/>
              </w:rPr>
              <w:t xml:space="preserve"> prepracovaná.</w:t>
            </w:r>
            <w:r w:rsidR="006160DB" w:rsidRPr="007F5B6A">
              <w:rPr>
                <w:rFonts w:ascii="Times New Roman" w:hAnsi="Times New Roman"/>
                <w:sz w:val="20"/>
                <w:szCs w:val="20"/>
                <w:lang w:val="sk-SK"/>
              </w:rPr>
              <w:t xml:space="preserve"> Cieľové hodnoty (targets) boli doplnené do 5.1.</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strategy to address the low added value of forest activity should be further developed. Financing forest machinery may help but should be combined with other measures and activities to be mentioned under FA2C.</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 FO 2C boli doplnené opatrenia M01 a M02</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high nature value forest areas should be better targeted under the forest-environmental measure. The planned output is very low in view of the needs of biodiversity maintenance in forests.  </w:t>
            </w:r>
          </w:p>
        </w:tc>
        <w:tc>
          <w:tcPr>
            <w:tcW w:w="296" w:type="pct"/>
            <w:shd w:val="clear" w:color="auto" w:fill="FFFFFF" w:themeFill="background1"/>
            <w:vAlign w:val="center"/>
          </w:tcPr>
          <w:p w:rsidR="00E91F7C" w:rsidRPr="007F5B6A" w:rsidRDefault="00A50CC9"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E91F7C" w:rsidRPr="007F5B6A" w:rsidRDefault="00E91F7C"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E91F7C" w:rsidRPr="007F5B6A" w:rsidRDefault="00A50CC9" w:rsidP="00A50CC9">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Lesnícko</w:t>
            </w:r>
            <w:r w:rsidRPr="007F5B6A">
              <w:rPr>
                <w:rFonts w:ascii="Times New Roman" w:hAnsi="Times New Roman"/>
                <w:sz w:val="20"/>
                <w:szCs w:val="20"/>
                <w:lang w:val="sk-SK"/>
              </w:rPr>
              <w:t>-environmentálne opatrenie bolo prepracované.</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links between some of the objectives and the actions proposed require clarification.  For example, the Partnership Agreement provides for improvement of water management to be primarily addressed through green infrastructure. Drainage channels, forest roads and land consolidation are normally undertaken to improve competitiveness and profitability, not for environmental objectives.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5069A0" w:rsidRPr="007F5B6A" w:rsidRDefault="00E91F7C" w:rsidP="005069A0">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Spoločné zariadenia, ktoré nadväzujú na projekty pozem. úprav sú programované pod prioritou 4</w:t>
            </w:r>
            <w:r w:rsidR="001E6CA2" w:rsidRPr="007F5B6A">
              <w:rPr>
                <w:rFonts w:ascii="Times New Roman" w:hAnsi="Times New Roman"/>
                <w:sz w:val="20"/>
                <w:szCs w:val="20"/>
                <w:lang w:val="sk-SK"/>
              </w:rPr>
              <w:t>,</w:t>
            </w:r>
            <w:r w:rsidRPr="007F5B6A">
              <w:rPr>
                <w:rFonts w:ascii="Times New Roman" w:hAnsi="Times New Roman"/>
                <w:sz w:val="20"/>
                <w:szCs w:val="20"/>
                <w:lang w:val="sk-SK"/>
              </w:rPr>
              <w:t xml:space="preserve"> a tým prispievajú k zelenej infraštruktúre. </w:t>
            </w:r>
            <w:r w:rsidR="006160DB" w:rsidRPr="007F5B6A">
              <w:rPr>
                <w:rFonts w:ascii="Times New Roman" w:hAnsi="Times New Roman"/>
                <w:sz w:val="20"/>
                <w:szCs w:val="20"/>
                <w:lang w:val="sk-SK"/>
              </w:rPr>
              <w:t>Lesné cesty budú prispievať k cieľom konkurencieschopnosti k FO 2C. Protipovodňové (hydromelioračné) kanály budú prispievať k FO 3B.</w:t>
            </w:r>
          </w:p>
          <w:p w:rsidR="00E91F7C" w:rsidRPr="007F5B6A" w:rsidRDefault="00E91F7C" w:rsidP="006160DB">
            <w:pPr>
              <w:widowControl/>
              <w:spacing w:after="0" w:line="240" w:lineRule="auto"/>
              <w:rPr>
                <w:rFonts w:ascii="Times New Roman" w:hAnsi="Times New Roman"/>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PAF for NATURA2000 and WFD and its implications and impact on the programme area should be included and reflected throughout the programme.</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A50CC9" w:rsidRPr="007F5B6A" w:rsidRDefault="00A50CC9" w:rsidP="00A50CC9">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Pripomienka bola s EK objasnená.</w:t>
            </w:r>
          </w:p>
          <w:p w:rsidR="00A50CC9" w:rsidRPr="007F5B6A" w:rsidRDefault="00A50CC9" w:rsidP="00A50CC9">
            <w:pPr>
              <w:widowControl/>
              <w:spacing w:after="120" w:line="240" w:lineRule="auto"/>
              <w:rPr>
                <w:rFonts w:ascii="Times New Roman" w:hAnsi="Times New Roman"/>
                <w:bCs/>
                <w:sz w:val="20"/>
                <w:szCs w:val="20"/>
                <w:lang w:val="sk-SK"/>
              </w:rPr>
            </w:pPr>
            <w:r w:rsidRPr="007F5B6A">
              <w:rPr>
                <w:rFonts w:ascii="Times New Roman" w:hAnsi="Times New Roman"/>
                <w:bCs/>
                <w:sz w:val="20"/>
                <w:szCs w:val="20"/>
                <w:lang w:val="sk-SK"/>
              </w:rPr>
              <w:t>PAF  nemôže tvoriť základ pre strategické rozhodovanie pri návrhu dokumentu národného charakteru - Programu rozvoja vidieka SR 2014 -2020, pretože je to materiál schválený na úrovni MŽP SR a nezaväzuje ostatné rezorty jeho  plnením.</w:t>
            </w:r>
          </w:p>
          <w:p w:rsidR="00A50CC9" w:rsidRPr="007F5B6A" w:rsidRDefault="00A50CC9" w:rsidP="00A50CC9">
            <w:pPr>
              <w:widowControl/>
              <w:spacing w:after="120" w:line="240" w:lineRule="auto"/>
              <w:rPr>
                <w:rFonts w:ascii="Times New Roman" w:hAnsi="Times New Roman"/>
                <w:bCs/>
                <w:sz w:val="20"/>
                <w:szCs w:val="20"/>
                <w:lang w:val="sk-SK"/>
              </w:rPr>
            </w:pPr>
            <w:r w:rsidRPr="007F5B6A">
              <w:rPr>
                <w:rFonts w:ascii="Times New Roman" w:hAnsi="Times New Roman"/>
                <w:bCs/>
                <w:sz w:val="20"/>
                <w:szCs w:val="20"/>
                <w:lang w:val="sk-SK"/>
              </w:rPr>
              <w:t>Strategickými dokumentmi pre oblasť biodiverzity (a tým aj území Natura 2000), ktoré vypracovalo MŽP SR a ktoré boli schválené vládou SR, sú:</w:t>
            </w:r>
          </w:p>
          <w:p w:rsidR="00A50CC9" w:rsidRPr="007F5B6A" w:rsidRDefault="00A50CC9" w:rsidP="00975BC8">
            <w:pPr>
              <w:widowControl/>
              <w:numPr>
                <w:ilvl w:val="0"/>
                <w:numId w:val="9"/>
              </w:numPr>
              <w:spacing w:after="120" w:line="240" w:lineRule="auto"/>
              <w:ind w:left="175" w:hanging="141"/>
              <w:rPr>
                <w:rFonts w:ascii="Times New Roman" w:hAnsi="Times New Roman"/>
                <w:bCs/>
                <w:sz w:val="20"/>
                <w:szCs w:val="20"/>
                <w:lang w:val="sk-SK"/>
              </w:rPr>
            </w:pPr>
            <w:r w:rsidRPr="007F5B6A">
              <w:rPr>
                <w:rFonts w:ascii="Times New Roman" w:hAnsi="Times New Roman"/>
                <w:bCs/>
                <w:sz w:val="20"/>
                <w:szCs w:val="20"/>
                <w:lang w:val="sk-SK"/>
              </w:rPr>
              <w:t>Aktualizovaná národná stratégia ochrany biodiverzity do roku 2020  (uznesenie vlády SR č.12 z 8. januára 2014)</w:t>
            </w:r>
          </w:p>
          <w:p w:rsidR="00A50CC9" w:rsidRPr="007F5B6A" w:rsidRDefault="00A50CC9" w:rsidP="00975BC8">
            <w:pPr>
              <w:widowControl/>
              <w:numPr>
                <w:ilvl w:val="0"/>
                <w:numId w:val="9"/>
              </w:numPr>
              <w:spacing w:after="120" w:line="240" w:lineRule="auto"/>
              <w:ind w:left="175" w:hanging="141"/>
              <w:rPr>
                <w:rFonts w:ascii="Times New Roman" w:hAnsi="Times New Roman"/>
                <w:bCs/>
                <w:sz w:val="20"/>
                <w:szCs w:val="20"/>
                <w:lang w:val="sk-SK"/>
              </w:rPr>
            </w:pPr>
            <w:r w:rsidRPr="007F5B6A">
              <w:rPr>
                <w:rFonts w:ascii="Times New Roman" w:hAnsi="Times New Roman"/>
                <w:bCs/>
                <w:sz w:val="20"/>
                <w:szCs w:val="20"/>
                <w:lang w:val="sk-SK"/>
              </w:rPr>
              <w:t>Akčný plán pre implementáciu opatrení vyplývajúcich z Aktualizovanej národnej stratégie ochrany biodiverzity do roku 2020 (uznesenie vlády SR č.442 z 10. 9. 2014)</w:t>
            </w:r>
          </w:p>
          <w:p w:rsidR="00E91F7C" w:rsidRPr="007F5B6A" w:rsidRDefault="00A50CC9" w:rsidP="00A50CC9">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Týmito strategickými dokumentmi a povinnosťou ich plnenia je zaviazané aj  MPRV SR a v oblasti podpôr z EPFRV ich plní na 100 %.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consistency between the targets specified and the measures and financial resources attributed should be reviewed and clarified for certain focus areas, particularly in regard to irrigation. A very high target is given for the percentage of irrigated land switching to a more efficient irrigation system, which may not be consistent with the budgetary allocation.</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FO 5A bola vylúčená z PRV.</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49.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 line with the RBMPs the Slovak authorities are invited to provide information on tackling hydromorphological pressures in the strategy and in the chapter on complementarity.</w:t>
            </w:r>
          </w:p>
        </w:tc>
        <w:tc>
          <w:tcPr>
            <w:tcW w:w="296" w:type="pct"/>
            <w:shd w:val="clear" w:color="auto" w:fill="FFFFFF" w:themeFill="background1"/>
            <w:vAlign w:val="center"/>
          </w:tcPr>
          <w:p w:rsidR="00E91F7C" w:rsidRPr="007F5B6A" w:rsidRDefault="006160DB" w:rsidP="006160DB">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Vodný plán Slovenska zahŕňa aj opatrenia na elimináciu hydromorfologických vplyvov, v rámci ktorých dochádza k prerušeniu kontinuity toku, zmenám morfologických podmienok a pod. Tieto dopady sú ale spôsobené okrem iného aj opatreniami na ochranu pred povodňami, zabezpečenie lodnej dopravy  a využitie hydroenergetického potenciálu. Opatrenia  navrhnuté vo Vodnom pláne Slovenska sa týkajú výlučne vodných tokov. Nejde teda o vplyv odvodňovacích kanálov.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50.</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Cross-cutting themes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description of cross-cutting themes (innovation, environment and climate change) should be further developed in view of intended interventions towards the cross cutting objectives, especially concerning the contribution to innovation and use  of European Innovation Partnership and highlighting climate change in context of other Union RD Priorities (UPs) and measures detected under priorities 4 and 5.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B021AB" w:rsidP="00B021AB">
            <w:pPr>
              <w:spacing w:after="0" w:line="240" w:lineRule="auto"/>
              <w:rPr>
                <w:rFonts w:ascii="Times New Roman" w:hAnsi="Times New Roman"/>
                <w:sz w:val="20"/>
                <w:szCs w:val="20"/>
                <w:lang w:val="sk-SK"/>
              </w:rPr>
            </w:pPr>
            <w:r w:rsidRPr="007F5B6A">
              <w:rPr>
                <w:rFonts w:ascii="Times New Roman" w:hAnsi="Times New Roman"/>
                <w:sz w:val="20"/>
                <w:szCs w:val="20"/>
                <w:lang w:val="sk-SK"/>
              </w:rPr>
              <w:t>V rámci jednotlivých opatrení bol revidovaný a doplnený text týkajúci sa príspevku k prierezovým cieľom.</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51.</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Advisory capacity</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the Farm advisory system should provide the current state of play and refer to the selection of providers in line with the public procurement rules. It is also not clear how the actions related to innovation will be covered.</w:t>
            </w:r>
          </w:p>
        </w:tc>
        <w:tc>
          <w:tcPr>
            <w:tcW w:w="296" w:type="pct"/>
            <w:shd w:val="clear" w:color="auto" w:fill="FFFFFF" w:themeFill="background1"/>
            <w:vAlign w:val="center"/>
          </w:tcPr>
          <w:p w:rsidR="00E91F7C"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306BD5" w:rsidRPr="007F5B6A" w:rsidRDefault="00E81704" w:rsidP="00306BD5">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w:t>
            </w:r>
            <w:r w:rsidR="00E91F7C" w:rsidRPr="007F5B6A">
              <w:rPr>
                <w:rFonts w:ascii="Times New Roman" w:hAnsi="Times New Roman"/>
                <w:sz w:val="20"/>
                <w:szCs w:val="20"/>
                <w:lang w:val="sk-SK"/>
              </w:rPr>
              <w:t xml:space="preserve">pis stavu v poradenstve na území SR </w:t>
            </w:r>
            <w:r w:rsidR="00306BD5" w:rsidRPr="007F5B6A">
              <w:rPr>
                <w:rFonts w:ascii="Times New Roman" w:hAnsi="Times New Roman"/>
                <w:sz w:val="20"/>
                <w:szCs w:val="20"/>
                <w:lang w:val="sk-SK"/>
              </w:rPr>
              <w:t>bol</w:t>
            </w:r>
            <w:r w:rsidR="00E91F7C" w:rsidRPr="007F5B6A">
              <w:rPr>
                <w:rFonts w:ascii="Times New Roman" w:hAnsi="Times New Roman"/>
                <w:sz w:val="20"/>
                <w:szCs w:val="20"/>
                <w:lang w:val="sk-SK"/>
              </w:rPr>
              <w:t xml:space="preserve"> dopracovaný. V súčasnosti v SR funguje trhový systém poradenstva. Výber poskytovateľov poradenstva </w:t>
            </w:r>
            <w:r w:rsidR="00306BD5" w:rsidRPr="007F5B6A">
              <w:rPr>
                <w:rFonts w:ascii="Times New Roman" w:hAnsi="Times New Roman"/>
                <w:sz w:val="20"/>
                <w:szCs w:val="20"/>
                <w:lang w:val="sk-SK"/>
              </w:rPr>
              <w:t>bol</w:t>
            </w:r>
            <w:r w:rsidR="00E91F7C" w:rsidRPr="007F5B6A">
              <w:rPr>
                <w:rFonts w:ascii="Times New Roman" w:hAnsi="Times New Roman"/>
                <w:sz w:val="20"/>
                <w:szCs w:val="20"/>
                <w:lang w:val="sk-SK"/>
              </w:rPr>
              <w:t xml:space="preserve"> navrhnutý v súlade s platnou Európskou a národnou legislatívou. </w:t>
            </w:r>
          </w:p>
          <w:p w:rsidR="00306BD5" w:rsidRPr="007F5B6A" w:rsidRDefault="00306BD5" w:rsidP="00306BD5">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Certifikovaní poradcovia, organizácie združujúce certifikovaných poradcov, resp. spoločnosti a organizácie zamestnávajúce certifikovaných poradcov budú vyberaní prostredníctvom verejného obstarávania realizovaného riadiacim orgánom (MPRV SR), resp. PPA.</w:t>
            </w:r>
            <w:r w:rsidR="00E91F7C" w:rsidRPr="007F5B6A">
              <w:rPr>
                <w:rFonts w:ascii="Times New Roman" w:hAnsi="Times New Roman"/>
                <w:sz w:val="20"/>
                <w:szCs w:val="20"/>
                <w:lang w:val="sk-SK"/>
              </w:rPr>
              <w:t xml:space="preserve"> </w:t>
            </w:r>
          </w:p>
          <w:p w:rsidR="00E91F7C" w:rsidRPr="007F5B6A" w:rsidRDefault="004323A2" w:rsidP="00306BD5">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Prepojenie poradenstva s inováciami bolo doplnené.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52.</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Assessment of Ex-ante Conditionalities (Section 6 of RDP)</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RDP has to include a complete assessment of the applicability and fulfilment of EACs, which has to be done at the level of RDP and systematically checked on the basis of part 3 of Annex I of the Commission Implementing Regulation (EU) No 808/2014. A repetition of the text of the Slovakian PA is not sufficient.</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8F76AB">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Kapitola bola dopracovaná v zmysle pripomienky.</w:t>
            </w:r>
            <w:r w:rsidR="00FC4D78" w:rsidRPr="007F5B6A">
              <w:rPr>
                <w:rFonts w:ascii="Times New Roman" w:hAnsi="Times New Roman"/>
                <w:sz w:val="20"/>
                <w:szCs w:val="20"/>
                <w:lang w:val="sk-SK"/>
              </w:rPr>
              <w:t xml:space="preserve"> Do kapitoly bolo doplnené skrátené znenie ex-ante kondicionalít PD, ktoré bolo poskytnuté CKO (CKO má odkonzultovanú danú skrátenú verziu s DG Regio), taktiež, kde je to relevantné, bolo doplnené vyhodnotenie z pohľadu PRV. Prílohu programu tvorí „plné znenie“ ex ante kondicionalít v zmysle schválenej PD.</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53.</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Description of the Performance Framework (Section 7 of RDP)</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targets for P4 and P5 in the financial plan are not fully consistent with the indicator plan. In addition, the amount under P6 seems to be below the limit of 5 %. This should be explained or justified.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FC4D78">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Kapitola </w:t>
            </w:r>
            <w:r w:rsidR="00FC4D78" w:rsidRPr="007F5B6A">
              <w:rPr>
                <w:rFonts w:ascii="Times New Roman" w:hAnsi="Times New Roman"/>
                <w:sz w:val="20"/>
                <w:szCs w:val="20"/>
                <w:lang w:val="sk-SK"/>
              </w:rPr>
              <w:t>bola upravená v zmysle pripomienky</w:t>
            </w:r>
            <w:r w:rsidRPr="007F5B6A">
              <w:rPr>
                <w:rFonts w:ascii="Times New Roman" w:hAnsi="Times New Roman"/>
                <w:sz w:val="20"/>
                <w:szCs w:val="20"/>
                <w:lang w:val="sk-SK"/>
              </w:rPr>
              <w:t>.</w:t>
            </w:r>
            <w:r w:rsidR="00FC4D78" w:rsidRPr="007F5B6A">
              <w:rPr>
                <w:rFonts w:ascii="Times New Roman" w:hAnsi="Times New Roman"/>
                <w:sz w:val="20"/>
                <w:szCs w:val="20"/>
                <w:lang w:val="sk-SK"/>
              </w:rPr>
              <w:t xml:space="preserve"> Hodnoty boli zosúladené s plánom ukazovateľov a výkonnostná rezerva upravená.</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Some of the milestones are not sufficiently ambitious for P2, P3 and P4 and P6). The problems indicated for investments (past experience of lengthy selection/approval process, late start of implementation) should be corrected in the current period.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FC4D78" w:rsidP="00FC4D78">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Míľniky boli upravené v zmysle pripomienky.</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55.</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Description of each of the measures selected (Section 8 of RDP) </w:t>
            </w:r>
          </w:p>
          <w:p w:rsidR="00E91F7C" w:rsidRPr="007F5B6A" w:rsidRDefault="00E91F7C"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Definition of rural area</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definition of rural areas was extended in comparison with the previous programming period to the Bratislava region (apart of Bratislava capital). This extension seems contradictory with the lower financial allocation resulting from the transfer of EAFRD funds into the First Pillar of the CAP. In any case, the urban areas (important towns in Slovakia in view of number of inhabitants) should be taken out from the definition of rural areas. In addition, the definition of rural areas at LAG level is not in line with Article 50 of Reg. 1305/2013. Thus should be adjusted.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Na úrovni programu je riadiacim orgánom definovaná vidieckosť na celé územie Slovensk</w:t>
            </w:r>
            <w:r w:rsidR="0025246C" w:rsidRPr="007F5B6A">
              <w:rPr>
                <w:rFonts w:ascii="Times New Roman" w:hAnsi="Times New Roman"/>
                <w:sz w:val="20"/>
                <w:szCs w:val="20"/>
                <w:lang w:val="sk-SK"/>
              </w:rPr>
              <w:t>a</w:t>
            </w:r>
            <w:r w:rsidRPr="007F5B6A">
              <w:rPr>
                <w:rFonts w:ascii="Times New Roman" w:hAnsi="Times New Roman"/>
                <w:sz w:val="20"/>
                <w:szCs w:val="20"/>
                <w:lang w:val="sk-SK"/>
              </w:rPr>
              <w:t xml:space="preserve"> okrem</w:t>
            </w:r>
            <w:r w:rsidR="0025246C" w:rsidRPr="007F5B6A">
              <w:rPr>
                <w:rFonts w:ascii="Times New Roman" w:hAnsi="Times New Roman"/>
                <w:sz w:val="20"/>
                <w:szCs w:val="20"/>
                <w:lang w:val="sk-SK"/>
              </w:rPr>
              <w:t xml:space="preserve"> všetkých krajských miest </w:t>
            </w:r>
            <w:r w:rsidRPr="007F5B6A">
              <w:rPr>
                <w:rFonts w:ascii="Times New Roman" w:hAnsi="Times New Roman"/>
                <w:sz w:val="20"/>
                <w:szCs w:val="20"/>
                <w:lang w:val="sk-SK"/>
              </w:rPr>
              <w:t>s výnimkou ich prímestských častí do 5tisíc obyvateľov.</w:t>
            </w:r>
            <w:r w:rsidR="00E81704" w:rsidRPr="007F5B6A">
              <w:rPr>
                <w:rFonts w:ascii="Times New Roman" w:hAnsi="Times New Roman"/>
                <w:sz w:val="20"/>
                <w:szCs w:val="20"/>
                <w:lang w:val="sk-SK"/>
              </w:rPr>
              <w:t xml:space="preserve"> Krajské mestá boli vypustené, pretože majú vypracovanú vlastnú stratégiu pre rozvoj miest.</w:t>
            </w:r>
          </w:p>
          <w:p w:rsidR="00E91F7C" w:rsidRPr="007F5B6A" w:rsidRDefault="00E91F7C" w:rsidP="009A098F">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Boli doplnené vo SWOT analýze menej rozvinuté regióny SR vrátane Bratislavského kraja - podľa zoznamu vo </w:t>
            </w:r>
            <w:r w:rsidR="0025246C" w:rsidRPr="007F5B6A">
              <w:rPr>
                <w:rFonts w:ascii="Times New Roman" w:hAnsi="Times New Roman"/>
                <w:sz w:val="20"/>
                <w:szCs w:val="20"/>
                <w:lang w:val="sk-SK"/>
              </w:rPr>
              <w:t>v</w:t>
            </w:r>
            <w:r w:rsidRPr="007F5B6A">
              <w:rPr>
                <w:rFonts w:ascii="Times New Roman" w:hAnsi="Times New Roman"/>
                <w:sz w:val="20"/>
                <w:szCs w:val="20"/>
                <w:lang w:val="sk-SK"/>
              </w:rPr>
              <w:t>ykonávacom rozhodnutí Komisie 2014/99/EÚ.</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56.</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b w:val="0"/>
                <w:sz w:val="20"/>
              </w:rPr>
            </w:pPr>
            <w:r w:rsidRPr="007F5B6A">
              <w:rPr>
                <w:rFonts w:ascii="Times New Roman" w:hAnsi="Times New Roman"/>
                <w:b w:val="0"/>
                <w:sz w:val="20"/>
              </w:rPr>
              <w:t>General conditions applied to more than one measure (Section 8.1)</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Aid rates, amounts and support rates have to be defined in the RDP at type of operation level. If appropriate/necessary, an interval can be established for a type of operation, but in such case the type of operation must describe criteria for granting different aid rates. Indication of amounts like "up to EUR" or support rates "up to x %" cannot be accepted.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9A098F">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Miera pomoci </w:t>
            </w:r>
            <w:r w:rsidR="009A098F" w:rsidRPr="007F5B6A">
              <w:rPr>
                <w:rFonts w:ascii="Times New Roman" w:hAnsi="Times New Roman"/>
                <w:sz w:val="20"/>
                <w:szCs w:val="20"/>
                <w:lang w:val="sk-SK"/>
              </w:rPr>
              <w:t>je</w:t>
            </w:r>
            <w:r w:rsidRPr="007F5B6A">
              <w:rPr>
                <w:rFonts w:ascii="Times New Roman" w:hAnsi="Times New Roman"/>
                <w:sz w:val="20"/>
                <w:szCs w:val="20"/>
                <w:lang w:val="sk-SK"/>
              </w:rPr>
              <w:t xml:space="preserve"> presne rozpísaná pri každom jednom opatrení. V prípade, že </w:t>
            </w:r>
            <w:r w:rsidR="009A098F" w:rsidRPr="007F5B6A">
              <w:rPr>
                <w:rFonts w:ascii="Times New Roman" w:hAnsi="Times New Roman"/>
                <w:sz w:val="20"/>
                <w:szCs w:val="20"/>
                <w:lang w:val="sk-SK"/>
              </w:rPr>
              <w:t>s</w:t>
            </w:r>
            <w:r w:rsidRPr="007F5B6A">
              <w:rPr>
                <w:rFonts w:ascii="Times New Roman" w:hAnsi="Times New Roman"/>
                <w:sz w:val="20"/>
                <w:szCs w:val="20"/>
                <w:lang w:val="sk-SK"/>
              </w:rPr>
              <w:t xml:space="preserve">ú rozdielne miery podpory v rámci opatrenia, systém </w:t>
            </w:r>
            <w:r w:rsidR="009A098F" w:rsidRPr="007F5B6A">
              <w:rPr>
                <w:rFonts w:ascii="Times New Roman" w:hAnsi="Times New Roman"/>
                <w:sz w:val="20"/>
                <w:szCs w:val="20"/>
                <w:lang w:val="sk-SK"/>
              </w:rPr>
              <w:t>je</w:t>
            </w:r>
            <w:r w:rsidRPr="007F5B6A">
              <w:rPr>
                <w:rFonts w:ascii="Times New Roman" w:hAnsi="Times New Roman"/>
                <w:sz w:val="20"/>
                <w:szCs w:val="20"/>
                <w:lang w:val="sk-SK"/>
              </w:rPr>
              <w:t xml:space="preserve"> presne opísaný. Tam kde to </w:t>
            </w:r>
            <w:r w:rsidR="009A098F" w:rsidRPr="007F5B6A">
              <w:rPr>
                <w:rFonts w:ascii="Times New Roman" w:hAnsi="Times New Roman"/>
                <w:sz w:val="20"/>
                <w:szCs w:val="20"/>
                <w:lang w:val="sk-SK"/>
              </w:rPr>
              <w:t>je</w:t>
            </w:r>
            <w:r w:rsidRPr="007F5B6A">
              <w:rPr>
                <w:rFonts w:ascii="Times New Roman" w:hAnsi="Times New Roman"/>
                <w:sz w:val="20"/>
                <w:szCs w:val="20"/>
                <w:lang w:val="sk-SK"/>
              </w:rPr>
              <w:t xml:space="preserve"> relevantné</w:t>
            </w:r>
            <w:r w:rsidR="001567ED" w:rsidRPr="007F5B6A">
              <w:rPr>
                <w:rFonts w:ascii="Times New Roman" w:hAnsi="Times New Roman"/>
                <w:sz w:val="20"/>
                <w:szCs w:val="20"/>
                <w:lang w:val="sk-SK"/>
              </w:rPr>
              <w:t>,</w:t>
            </w:r>
            <w:r w:rsidRPr="007F5B6A">
              <w:rPr>
                <w:rFonts w:ascii="Times New Roman" w:hAnsi="Times New Roman"/>
                <w:sz w:val="20"/>
                <w:szCs w:val="20"/>
                <w:lang w:val="sk-SK"/>
              </w:rPr>
              <w:t xml:space="preserve"> </w:t>
            </w:r>
            <w:r w:rsidR="009A098F" w:rsidRPr="007F5B6A">
              <w:rPr>
                <w:rFonts w:ascii="Times New Roman" w:hAnsi="Times New Roman"/>
                <w:sz w:val="20"/>
                <w:szCs w:val="20"/>
                <w:lang w:val="sk-SK"/>
              </w:rPr>
              <w:t>je</w:t>
            </w:r>
            <w:r w:rsidRPr="007F5B6A">
              <w:rPr>
                <w:rFonts w:ascii="Times New Roman" w:hAnsi="Times New Roman"/>
                <w:sz w:val="20"/>
                <w:szCs w:val="20"/>
                <w:lang w:val="sk-SK"/>
              </w:rPr>
              <w:t xml:space="preserve"> uved</w:t>
            </w:r>
            <w:r w:rsidR="009A098F" w:rsidRPr="007F5B6A">
              <w:rPr>
                <w:rFonts w:ascii="Times New Roman" w:hAnsi="Times New Roman"/>
                <w:sz w:val="20"/>
                <w:szCs w:val="20"/>
                <w:lang w:val="sk-SK"/>
              </w:rPr>
              <w:t xml:space="preserve">ená </w:t>
            </w:r>
            <w:r w:rsidRPr="007F5B6A">
              <w:rPr>
                <w:rFonts w:ascii="Times New Roman" w:hAnsi="Times New Roman"/>
                <w:sz w:val="20"/>
                <w:szCs w:val="20"/>
                <w:lang w:val="sk-SK"/>
              </w:rPr>
              <w:t>výška pomoci.</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RDP should clearly state that for any public contract/concession financed by EARDF, the national authorities will respect the EU public procurement rules and in particular (i) Directives 2004/18/EC and 2004/17/EC, (ii) Directives 2014/23/EU, 2014/24/EU and 2014/25/EU once transposed into national legislation, (iii) Directives 89/665/EEC and 92/13/EEC [as amended by Directive 2007/66/EC] and (iv) the general public procurement principles derived from the Treaty on the Functioning of the EU.</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D05A06">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Zapracované do kapitoly 8.1</w:t>
            </w:r>
            <w:r w:rsidR="00D05A06" w:rsidRPr="007F5B6A">
              <w:rPr>
                <w:rFonts w:ascii="Times New Roman" w:hAnsi="Times New Roman"/>
                <w:sz w:val="20"/>
                <w:szCs w:val="20"/>
                <w:lang w:val="sk-SK"/>
              </w:rPr>
              <w:t>,</w:t>
            </w:r>
            <w:r w:rsidRPr="007F5B6A">
              <w:rPr>
                <w:rFonts w:ascii="Times New Roman" w:hAnsi="Times New Roman"/>
                <w:sz w:val="20"/>
                <w:szCs w:val="20"/>
                <w:lang w:val="sk-SK"/>
              </w:rPr>
              <w:t xml:space="preserve"> požadované </w:t>
            </w:r>
            <w:r w:rsidR="00D05A06" w:rsidRPr="007F5B6A">
              <w:rPr>
                <w:rFonts w:ascii="Times New Roman" w:hAnsi="Times New Roman"/>
                <w:sz w:val="20"/>
                <w:szCs w:val="20"/>
                <w:lang w:val="sk-SK"/>
              </w:rPr>
              <w:t>je</w:t>
            </w:r>
            <w:r w:rsidRPr="007F5B6A">
              <w:rPr>
                <w:rFonts w:ascii="Times New Roman" w:hAnsi="Times New Roman"/>
                <w:sz w:val="20"/>
                <w:szCs w:val="20"/>
                <w:lang w:val="sk-SK"/>
              </w:rPr>
              <w:t xml:space="preserve"> v programe presne uvedené.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methodology for calculation of payment in order to ensure exclusion of double-funding should be clarified further. Slovakia should clarify how the aid granted under Regulation (EU) No 1307/2013, and in particular the notifications under Article 43(8) of the same Regulation, are taken into account.</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A50CC9"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Vo všetkých relevantných opatreniach programu, ich metodikách výpočtu je obsiahnuté vylúčenie dvojitého financovania (certifikáty overiteľnosti výpočtov).</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59.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list of allowed combinations of commitments referred to in Article: 11(1) shall be annexed to the RDP.</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A50CC9">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Doplnené.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as regards investment support, how the environmental assessment required under Article 45(1) will be applied. It should include the common provisions for investments, including the provisions of Article 45 and 46 of Regulation (EU) No 1305/2013. In addition, the references to profitable or non-profitable investments/payments should be replaced by the references based on Article 66 of Reg. (EU) 1303/2013. The simplified costs options should be also considered or excluded.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D05A06"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w:t>
            </w:r>
            <w:r w:rsidR="00E91F7C" w:rsidRPr="007F5B6A">
              <w:rPr>
                <w:rFonts w:ascii="Times New Roman" w:hAnsi="Times New Roman"/>
                <w:sz w:val="20"/>
                <w:szCs w:val="20"/>
                <w:lang w:val="sk-SK"/>
              </w:rPr>
              <w:t>apracované do kapitoly 8.1</w:t>
            </w:r>
            <w:r w:rsidRPr="007F5B6A">
              <w:rPr>
                <w:rFonts w:ascii="Times New Roman" w:hAnsi="Times New Roman"/>
                <w:sz w:val="20"/>
                <w:szCs w:val="20"/>
                <w:lang w:val="sk-SK"/>
              </w:rPr>
              <w:t>.</w:t>
            </w:r>
          </w:p>
          <w:p w:rsidR="00E91F7C" w:rsidRPr="007F5B6A" w:rsidRDefault="00E91F7C" w:rsidP="00E91F7C">
            <w:pPr>
              <w:widowControl/>
              <w:spacing w:after="0" w:line="240" w:lineRule="auto"/>
              <w:rPr>
                <w:rFonts w:ascii="Times New Roman" w:hAnsi="Times New Roman"/>
                <w:b/>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Eligibility conditions: Very often there seems to be a mix between eligibility criteria and issues which would normally be covered under the selection criteria. However, it is not at all clear how these conditions e.g. "activities that reduce the burden on the environment", "or reduce the cost of production of agricultural products", or etc. will be checked by the PA in a controllable manner. This should be reflected upon, when revising the measures.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b/>
                <w:sz w:val="20"/>
                <w:szCs w:val="20"/>
                <w:lang w:val="sk-SK"/>
              </w:rPr>
              <w:t>Z</w:t>
            </w:r>
            <w:r w:rsidRPr="007F5B6A">
              <w:rPr>
                <w:rFonts w:ascii="Times New Roman" w:hAnsi="Times New Roman"/>
                <w:sz w:val="20"/>
                <w:szCs w:val="20"/>
                <w:lang w:val="sk-SK"/>
              </w:rPr>
              <w:t>revidované výberové kritéria a podmienky oprávnenosti pri projektových aj neprojektových opatreniach.</w:t>
            </w:r>
          </w:p>
          <w:p w:rsidR="00E91F7C" w:rsidRPr="007F5B6A" w:rsidRDefault="00E91F7C" w:rsidP="00E91F7C">
            <w:pPr>
              <w:widowControl/>
              <w:spacing w:after="0" w:line="240" w:lineRule="auto"/>
              <w:rPr>
                <w:rFonts w:ascii="Times New Roman" w:hAnsi="Times New Roman"/>
                <w:b/>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Selection criteria: There is a number of selection criteria mentioned in the sub-measures/types of operations. . However, what the RD Regulation and the IA require is the description of the principles used for the setting up of selection criteria. In this respect and as a minimum it should be described whether a scoring system is used for ranking. Secondly, it should be clear whether a minimum threshold is defined which a project must reach in order to be eligible (quality aspect). Slovakia should indicate how the principles of "complexity", "efficiency" and "sustainability" of the project indicated for selection criteria will be scored and verified.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D05A06" w:rsidRPr="007F5B6A" w:rsidRDefault="00D05A06"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Informácia o bodovom systéme bola zapracovaná do kapitoly 8.1.</w:t>
            </w:r>
          </w:p>
          <w:p w:rsidR="00E91F7C" w:rsidRPr="007F5B6A" w:rsidRDefault="00E91F7C" w:rsidP="009A098F">
            <w:pPr>
              <w:shd w:val="clear" w:color="auto" w:fill="FFFFFF" w:themeFill="background1"/>
              <w:spacing w:after="0" w:line="240" w:lineRule="auto"/>
              <w:rPr>
                <w:rFonts w:ascii="Times New Roman" w:hAnsi="Times New Roman"/>
                <w:b/>
                <w:sz w:val="20"/>
                <w:szCs w:val="20"/>
                <w:lang w:val="sk-SK"/>
              </w:rPr>
            </w:pPr>
            <w:r w:rsidRPr="007F5B6A">
              <w:rPr>
                <w:rFonts w:ascii="Times New Roman" w:hAnsi="Times New Roman"/>
                <w:sz w:val="20"/>
                <w:szCs w:val="20"/>
                <w:lang w:val="sk-SK"/>
              </w:rPr>
              <w:t>Výberové kritériá b</w:t>
            </w:r>
            <w:r w:rsidR="00D05A06" w:rsidRPr="007F5B6A">
              <w:rPr>
                <w:rFonts w:ascii="Times New Roman" w:hAnsi="Times New Roman"/>
                <w:sz w:val="20"/>
                <w:szCs w:val="20"/>
                <w:lang w:val="sk-SK"/>
              </w:rPr>
              <w:t>oli</w:t>
            </w:r>
            <w:r w:rsidRPr="007F5B6A">
              <w:rPr>
                <w:rFonts w:ascii="Times New Roman" w:hAnsi="Times New Roman"/>
                <w:sz w:val="20"/>
                <w:szCs w:val="20"/>
                <w:lang w:val="sk-SK"/>
              </w:rPr>
              <w:t xml:space="preserve"> pri každom opatrení prepracované resp. doplnené v zmysle pripomienky. SR dopln</w:t>
            </w:r>
            <w:r w:rsidR="00D05A06" w:rsidRPr="007F5B6A">
              <w:rPr>
                <w:rFonts w:ascii="Times New Roman" w:hAnsi="Times New Roman"/>
                <w:sz w:val="20"/>
                <w:szCs w:val="20"/>
                <w:lang w:val="sk-SK"/>
              </w:rPr>
              <w:t>il</w:t>
            </w:r>
            <w:r w:rsidR="009A098F" w:rsidRPr="007F5B6A">
              <w:rPr>
                <w:rFonts w:ascii="Times New Roman" w:hAnsi="Times New Roman"/>
                <w:sz w:val="20"/>
                <w:szCs w:val="20"/>
                <w:lang w:val="sk-SK"/>
              </w:rPr>
              <w:t>a</w:t>
            </w:r>
            <w:r w:rsidRPr="007F5B6A">
              <w:rPr>
                <w:rFonts w:ascii="Times New Roman" w:hAnsi="Times New Roman"/>
                <w:sz w:val="20"/>
                <w:szCs w:val="20"/>
                <w:lang w:val="sk-SK"/>
              </w:rPr>
              <w:t xml:space="preserve"> informáciu o zásady stanovenia výberových kritérií, t.j. či je pre dané opatrenie využívaný hodnotiaci systém prostredníctvom bodovania, či bude pre dané opatrenie stanovená aj minimálna hranica, zároveň SR dopln</w:t>
            </w:r>
            <w:r w:rsidR="009A098F" w:rsidRPr="007F5B6A">
              <w:rPr>
                <w:rFonts w:ascii="Times New Roman" w:hAnsi="Times New Roman"/>
                <w:sz w:val="20"/>
                <w:szCs w:val="20"/>
                <w:lang w:val="sk-SK"/>
              </w:rPr>
              <w:t>ila</w:t>
            </w:r>
            <w:r w:rsidRPr="007F5B6A">
              <w:rPr>
                <w:rFonts w:ascii="Times New Roman" w:hAnsi="Times New Roman"/>
                <w:sz w:val="20"/>
                <w:szCs w:val="20"/>
                <w:lang w:val="sk-SK"/>
              </w:rPr>
              <w:t xml:space="preserve"> základne zásady pre overenie kvality projektu.</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63.</w:t>
            </w:r>
          </w:p>
        </w:tc>
        <w:tc>
          <w:tcPr>
            <w:tcW w:w="2963" w:type="pct"/>
            <w:shd w:val="clear" w:color="auto" w:fill="FFFFFF" w:themeFill="background1"/>
          </w:tcPr>
          <w:p w:rsidR="00E91F7C" w:rsidRPr="007F5B6A" w:rsidRDefault="00E91F7C"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Description by measure (Section 8.2 of RDP) </w:t>
            </w:r>
          </w:p>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Measure 1: Knowledge transfer and information actions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minimum qualifications of the bodies providing knowledge transfer services should be specified.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7E75EE"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Minimálna kvalifikácia je špecifikovaná.</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describe the contribution of the measure also to the FA5E and to the whole priority 4, as they are mentioned in the financial breakdown by measure and FAs.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3418C" w:rsidP="009A098F">
            <w:pPr>
              <w:widowControl/>
              <w:spacing w:after="0" w:line="240" w:lineRule="auto"/>
              <w:jc w:val="center"/>
              <w:rPr>
                <w:rFonts w:ascii="Times New Roman" w:hAnsi="Times New Roman"/>
                <w:b/>
                <w:sz w:val="20"/>
                <w:szCs w:val="20"/>
                <w:lang w:val="sk-SK"/>
              </w:rPr>
            </w:pPr>
            <w:r w:rsidRPr="007F5B6A">
              <w:rPr>
                <w:rFonts w:ascii="Times New Roman" w:hAnsi="Times New Roman"/>
                <w:sz w:val="20"/>
                <w:szCs w:val="20"/>
                <w:lang w:val="sk-SK"/>
              </w:rPr>
              <w:t>Prínos opatrenia pre FO 4C a 5E bol doplnený.</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Even though sub-measure 1.3 will not be implemented, the text under both sub-measures indicates that definition of the duration and content of farm and forest exchange schemes and visits as referred to in Article 3 of Commission Delegated Regulation (EU) No 807//2014 will be laid down in manual. This should be clarified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3418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Aktivity súvisiace s podopatrením 1.3 boli odstránené.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Simplified cost options cannot be used for the actions which will be implemented through the public procurement procedures.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3418C">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SR plánuje realizovať opatrenie 1 prostredníctvom </w:t>
            </w:r>
            <w:r w:rsidR="001A0CE0" w:rsidRPr="007F5B6A">
              <w:rPr>
                <w:rFonts w:ascii="Times New Roman" w:hAnsi="Times New Roman"/>
                <w:sz w:val="20"/>
                <w:szCs w:val="20"/>
                <w:lang w:val="sk-SK"/>
              </w:rPr>
              <w:t xml:space="preserve">postupov </w:t>
            </w:r>
            <w:r w:rsidRPr="007F5B6A">
              <w:rPr>
                <w:rFonts w:ascii="Times New Roman" w:hAnsi="Times New Roman"/>
                <w:sz w:val="20"/>
                <w:szCs w:val="20"/>
                <w:lang w:val="sk-SK"/>
              </w:rPr>
              <w:t xml:space="preserve">verejného obstarávania. Zároveň však plánuje využiť aj financovanie v zmysle článkov 67 a 68 </w:t>
            </w:r>
            <w:r w:rsidR="00E3418C" w:rsidRPr="007F5B6A">
              <w:rPr>
                <w:rFonts w:ascii="Times New Roman" w:hAnsi="Times New Roman"/>
                <w:sz w:val="20"/>
                <w:szCs w:val="20"/>
                <w:lang w:val="sk-SK"/>
              </w:rPr>
              <w:t>n</w:t>
            </w:r>
            <w:r w:rsidRPr="007F5B6A">
              <w:rPr>
                <w:rFonts w:ascii="Times New Roman" w:hAnsi="Times New Roman"/>
                <w:sz w:val="20"/>
                <w:szCs w:val="20"/>
                <w:lang w:val="sk-SK"/>
              </w:rPr>
              <w:t xml:space="preserve">ariadenia (EÚ) 1303/2013 a uplatniť zároveň paušálne financovanie na režijné náklady v spojitosti s opatrením 1. Verejné obstarávanie by tak zahŕňalo len aktivity priamo súvisiace s prenosom znalostí a informačnými aktivitami bez režijných nákladov súvisiacich so vzdelávaním. Paušálne financovanie </w:t>
            </w:r>
            <w:r w:rsidR="00E3418C" w:rsidRPr="007F5B6A">
              <w:rPr>
                <w:rFonts w:ascii="Times New Roman" w:hAnsi="Times New Roman"/>
                <w:sz w:val="20"/>
                <w:szCs w:val="20"/>
                <w:lang w:val="sk-SK"/>
              </w:rPr>
              <w:t xml:space="preserve">je </w:t>
            </w:r>
            <w:r w:rsidRPr="007F5B6A">
              <w:rPr>
                <w:rFonts w:ascii="Times New Roman" w:hAnsi="Times New Roman"/>
                <w:sz w:val="20"/>
                <w:szCs w:val="20"/>
                <w:lang w:val="sk-SK"/>
              </w:rPr>
              <w:t>opísane v programe s informáciou o jeho vypracovaní</w:t>
            </w:r>
            <w:r w:rsidR="00E3418C" w:rsidRPr="007F5B6A">
              <w:rPr>
                <w:rFonts w:ascii="Times New Roman" w:hAnsi="Times New Roman"/>
                <w:sz w:val="20"/>
                <w:szCs w:val="20"/>
                <w:lang w:val="sk-SK"/>
              </w:rPr>
              <w:t>,</w:t>
            </w:r>
            <w:r w:rsidRPr="007F5B6A">
              <w:rPr>
                <w:rFonts w:ascii="Times New Roman" w:hAnsi="Times New Roman"/>
                <w:sz w:val="20"/>
                <w:szCs w:val="20"/>
                <w:lang w:val="sk-SK"/>
              </w:rPr>
              <w:t xml:space="preserve"> ako aj o jeho overení nezávislým certifikačným orgánom.</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67.</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Sub-measure 1.1: Vocational training and skills acquisition actions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sub-measure includes all the possible forms of training without indicating topics/activities and targeted groups. Slovakia should indicate how the sub-measure will be implemented (vouchers system, annual payments…), and what is the expected contribution at the level of focus areas to the targeted groups.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306BD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Témy/aktivity, cieľové skupiny a prínos na úrovni FO boli doplnené.</w:t>
            </w:r>
          </w:p>
          <w:p w:rsidR="00306BD5" w:rsidRPr="007F5B6A" w:rsidRDefault="00306BD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Realizácia podopatrenia: systém voucherov nebude realizovaný.</w:t>
            </w:r>
          </w:p>
          <w:p w:rsidR="00306BD5" w:rsidRPr="007F5B6A" w:rsidRDefault="00306BD5"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Prenos znalostí a informačné akcie bude realizované systémom refundácie oprávnených výdavkov s možnosťou paušálnej sadzby (nepriame výdavky) až do výšky 20% z priamych oprávnených výdavkov a so zavedením max. hodnoty oprávnenosti daného výdavku v nadväznosti na zabezpečenie hospodárneho, efektívneho a účinného vynakladania verejných prostriedkov. Paušálna sadzba (nepriame výdavky) bu</w:t>
            </w:r>
            <w:r w:rsidR="00C875CD" w:rsidRPr="007F5B6A">
              <w:rPr>
                <w:rFonts w:ascii="Times New Roman" w:hAnsi="Times New Roman"/>
                <w:sz w:val="20"/>
                <w:szCs w:val="20"/>
                <w:lang w:val="sk-SK"/>
              </w:rPr>
              <w:t>de stanovená v zmysle článkov 67 a 68 nariadenia (EÚ) 1303/2013.</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overhead costs linked to the implementation of the training activity, including the costs for acquisition of skills and promotion should be described.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C875CD"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Režijné náklady sú charakterizované. Propagácia odstránená. Náklady na propagáciu zahrnuté v materiálno-technických nákladoch.</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69.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Selecting only one provider of training per topic/activity for the whole programming period may unnecessarily reduce the competition. Slovakia should consider using framework contracts or other options compatible with public procurement rule</w:t>
            </w:r>
          </w:p>
        </w:tc>
        <w:tc>
          <w:tcPr>
            <w:tcW w:w="296" w:type="pct"/>
            <w:shd w:val="clear" w:color="auto" w:fill="FFFFFF" w:themeFill="background1"/>
            <w:vAlign w:val="center"/>
          </w:tcPr>
          <w:p w:rsidR="00E91F7C" w:rsidRPr="007F5B6A" w:rsidRDefault="001A0CE0"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C875CD" w:rsidP="001A0CE0">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Výber poskytovateľov vzdelávania bude prebiehať prostredníctvom postupov verejného obstarávania v zmysle zákona č. 25/2006 Z. z. o verejnom obstarávaní realizovaný riadiacim orgánom (MPRV SR), prípadne PPA</w:t>
            </w:r>
            <w:r w:rsidR="001A0CE0"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clarify which are the appropriate capacities of bodies providing knowledge transfer services and how it will be verified that accredited training activity meets the requirements and objective of the measure</w:t>
            </w:r>
          </w:p>
        </w:tc>
        <w:tc>
          <w:tcPr>
            <w:tcW w:w="296" w:type="pct"/>
            <w:shd w:val="clear" w:color="auto" w:fill="FFFFFF" w:themeFill="background1"/>
            <w:vAlign w:val="center"/>
          </w:tcPr>
          <w:p w:rsidR="00E91F7C" w:rsidRPr="007F5B6A" w:rsidRDefault="00C875CD"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C875CD"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Kapacity inštitúcií poskytujúcich služby prenosu znalostí sú špecifikované.</w:t>
            </w:r>
          </w:p>
          <w:p w:rsidR="00C875CD" w:rsidRPr="007F5B6A" w:rsidRDefault="00C875CD"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Overovanie vzdelávacích aktivít: uvedené v podmienkach oprávnenosti. Každý projekt musí byť v súlade s identifikovanými potrebami a aspoň jednou FO daného podopatrenia.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is not enough to fix a maximum support rate of 100%. It should be explained in which conditions different support rates might apply.</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C875CD" w:rsidRPr="007F5B6A" w:rsidRDefault="00C875CD" w:rsidP="00975BC8">
            <w:pPr>
              <w:widowControl/>
              <w:numPr>
                <w:ilvl w:val="0"/>
                <w:numId w:val="8"/>
              </w:numPr>
              <w:spacing w:after="0" w:line="240" w:lineRule="auto"/>
              <w:ind w:left="317" w:hanging="283"/>
              <w:rPr>
                <w:rFonts w:ascii="Times New Roman" w:hAnsi="Times New Roman"/>
                <w:b/>
                <w:sz w:val="20"/>
                <w:szCs w:val="20"/>
                <w:lang w:val="sk-SK"/>
              </w:rPr>
            </w:pPr>
          </w:p>
          <w:p w:rsidR="001A0CE0" w:rsidRPr="007F5B6A" w:rsidRDefault="001A0CE0" w:rsidP="00975BC8">
            <w:pPr>
              <w:widowControl/>
              <w:numPr>
                <w:ilvl w:val="0"/>
                <w:numId w:val="8"/>
              </w:numPr>
              <w:spacing w:after="0" w:line="240" w:lineRule="auto"/>
              <w:ind w:left="317" w:hanging="283"/>
              <w:rPr>
                <w:rFonts w:ascii="Times New Roman" w:hAnsi="Times New Roman"/>
                <w:b/>
                <w:sz w:val="20"/>
                <w:szCs w:val="20"/>
                <w:lang w:val="sk-SK"/>
              </w:rPr>
            </w:pPr>
            <w:r w:rsidRPr="007F5B6A">
              <w:rPr>
                <w:rFonts w:ascii="Times New Roman" w:hAnsi="Times New Roman"/>
                <w:sz w:val="20"/>
                <w:szCs w:val="20"/>
                <w:lang w:val="sk-SK"/>
              </w:rPr>
              <w:t>Akceptované, viď text opatrenia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72.</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Sub-measure 1.2: Demonstration projects and information action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this type of operation should be made consistent with the description of the measure. In addition, the following forms of knowledge transfer seem not suitable for this sub-measure: Competition (as stand-alone action), happening, TV emission if it is not linked to the information action, promotion (not clear what kind of promotion), practical skills (it is not a form), workshops and coaching (suitable only under sub-measure 1.1)</w:t>
            </w:r>
          </w:p>
        </w:tc>
        <w:tc>
          <w:tcPr>
            <w:tcW w:w="296" w:type="pct"/>
            <w:shd w:val="clear" w:color="auto" w:fill="FFFFFF" w:themeFill="background1"/>
            <w:vAlign w:val="center"/>
          </w:tcPr>
          <w:p w:rsidR="00E91F7C" w:rsidRPr="007F5B6A" w:rsidRDefault="006F769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4323A2">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Opis operácie </w:t>
            </w:r>
            <w:r w:rsidR="004323A2" w:rsidRPr="007F5B6A">
              <w:rPr>
                <w:rFonts w:ascii="Times New Roman" w:hAnsi="Times New Roman"/>
                <w:sz w:val="20"/>
                <w:szCs w:val="20"/>
                <w:lang w:val="sk-SK"/>
              </w:rPr>
              <w:t>bol upravený v súlade s pripomienkou a opisom</w:t>
            </w:r>
            <w:r w:rsidR="001A0CE0" w:rsidRPr="007F5B6A">
              <w:rPr>
                <w:rFonts w:ascii="Times New Roman" w:hAnsi="Times New Roman"/>
                <w:sz w:val="20"/>
                <w:szCs w:val="20"/>
                <w:lang w:val="sk-SK"/>
              </w:rPr>
              <w:t xml:space="preserve"> podopatrenia.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describe more precisely the eligible costs (e.g. investment cost, organization of the information action, etc.) and explain how the support will be provided (e.g. annual payment). It should be specified which investments are eligible (purchase, lease, interest refinancing, insurance, second hand equipment). Standard cost may be used according to Article 67 of Regulation (EU) No 1303/2013. Article 45 of the (EU) Regulation No 1305/2013 should be indicated, under the links to other legislation, in view of supporting investments costs under this sub-measure. </w:t>
            </w:r>
          </w:p>
        </w:tc>
        <w:tc>
          <w:tcPr>
            <w:tcW w:w="296" w:type="pct"/>
            <w:shd w:val="clear" w:color="auto" w:fill="FFFFFF" w:themeFill="background1"/>
            <w:vAlign w:val="center"/>
          </w:tcPr>
          <w:p w:rsidR="00E91F7C" w:rsidRPr="007F5B6A" w:rsidRDefault="00A568F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F769C" w:rsidRPr="007F5B6A" w:rsidRDefault="006F769C" w:rsidP="006F769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Oprávnené náklady </w:t>
            </w:r>
            <w:r w:rsidR="00AE10B2" w:rsidRPr="007F5B6A">
              <w:rPr>
                <w:rFonts w:ascii="Times New Roman" w:hAnsi="Times New Roman"/>
                <w:sz w:val="20"/>
                <w:szCs w:val="20"/>
                <w:lang w:val="sk-SK"/>
              </w:rPr>
              <w:t>boli upravené.</w:t>
            </w:r>
          </w:p>
          <w:p w:rsidR="00E91F7C" w:rsidRPr="007F5B6A" w:rsidRDefault="00E91F7C" w:rsidP="00E91F7C">
            <w:pPr>
              <w:widowControl/>
              <w:spacing w:after="0" w:line="240" w:lineRule="auto"/>
              <w:rPr>
                <w:rFonts w:ascii="Times New Roman" w:hAnsi="Times New Roman"/>
                <w:b/>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clarified if "Accommodation cost" refer to cost incurred by the service provider. In case that this cost refers to participants, the system to reimburse these cost should be mentioned. The costs for promotion should be defined.</w:t>
            </w:r>
          </w:p>
        </w:tc>
        <w:tc>
          <w:tcPr>
            <w:tcW w:w="296" w:type="pct"/>
            <w:shd w:val="clear" w:color="auto" w:fill="FFFFFF" w:themeFill="background1"/>
            <w:vAlign w:val="center"/>
          </w:tcPr>
          <w:p w:rsidR="00E91F7C" w:rsidRPr="007F5B6A" w:rsidRDefault="006F769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Výdavky na ubytovanie u účastníkov, zamestnancov konečného prijímateľa finančnej pomoci a osôb mimo pracovnoprávneho vzťahu zúčastňujúcich sa na vzdelávacej aktivite budú hradené formou faktúr na základe prezenčných listín.</w:t>
            </w:r>
          </w:p>
          <w:p w:rsidR="00E91F7C" w:rsidRPr="007F5B6A" w:rsidRDefault="006F769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Náklady na ubytovanie boli objasnené. Propagácia odstránená. Náklady na propagáciu zahrnuté v materiálno-technických nákladoch.</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clarify if the measure is to be implemented by the LAGs. They could be beneficiaries under the measure if they are selected through the selection procedure established for the measure. In other cases, demonstration activities conducted by a LAG should be financed through LEADER.</w:t>
            </w:r>
          </w:p>
        </w:tc>
        <w:tc>
          <w:tcPr>
            <w:tcW w:w="296" w:type="pct"/>
            <w:shd w:val="clear" w:color="auto" w:fill="FFFFFF" w:themeFill="background1"/>
            <w:vAlign w:val="center"/>
          </w:tcPr>
          <w:p w:rsidR="00E91F7C" w:rsidRPr="007F5B6A" w:rsidRDefault="006F769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6F769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Subjekty z územia MAS budú oprávnené žiadať o podporu aj na úrovni národných výziev pre jednotlivé opatrenia PRV za podmienky využitia len 1 zdroja financovania daného projektu, resp. výdavku.</w:t>
            </w:r>
            <w:r w:rsidR="00AE10B2" w:rsidRPr="007F5B6A">
              <w:rPr>
                <w:rFonts w:ascii="Times New Roman" w:hAnsi="Times New Roman"/>
                <w:sz w:val="20"/>
                <w:szCs w:val="20"/>
                <w:lang w:val="sk-SK"/>
              </w:rPr>
              <w:t xml:space="preserve"> Opatrenie 1.2 v PRV nebude priamo implementované MAS. V rámci opatrenia č. 19 však môžu MAS navrhnúť opatrenia v súlade s nariadením a cieľmi stratégie, preto aj demonštračné aktivity a informačné akcie môžu byť jednou z podporovaných aktivít v rámci stratégie MAS a financované v rámci opatrenia č. 19.</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is not enough to fix a maximum of 100% support rate. It should be explained in which conditions different support rates might apply. As regards risks of implementation of the measure, sustainability of the project seems not be relevant for a demonstration activity.</w:t>
            </w:r>
          </w:p>
        </w:tc>
        <w:tc>
          <w:tcPr>
            <w:tcW w:w="296" w:type="pct"/>
            <w:shd w:val="clear" w:color="auto" w:fill="FFFFFF" w:themeFill="background1"/>
            <w:vAlign w:val="center"/>
          </w:tcPr>
          <w:p w:rsidR="00E91F7C" w:rsidRPr="007F5B6A" w:rsidRDefault="006F769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517DB9" w:rsidP="006F769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Upravené v texte podopatrenia.</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77.</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Measure 2: Advisory services, farm management and relief services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allocation proposed seems clearly insufficient to address the important needs identified in the SWOT analysis. Slovakia should consider increasing the allocation or revising whether some of the needs are addressed under other measures.</w:t>
            </w:r>
          </w:p>
        </w:tc>
        <w:tc>
          <w:tcPr>
            <w:tcW w:w="296" w:type="pct"/>
            <w:shd w:val="clear" w:color="auto" w:fill="FFFFFF" w:themeFill="background1"/>
            <w:vAlign w:val="center"/>
          </w:tcPr>
          <w:p w:rsidR="00E91F7C" w:rsidRPr="007F5B6A" w:rsidRDefault="006F769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6F769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Finančná alokácia Poradenských služieb b</w:t>
            </w:r>
            <w:r w:rsidR="006F769C" w:rsidRPr="007F5B6A">
              <w:rPr>
                <w:rFonts w:ascii="Times New Roman" w:hAnsi="Times New Roman"/>
                <w:sz w:val="20"/>
                <w:szCs w:val="20"/>
                <w:lang w:val="sk-SK"/>
              </w:rPr>
              <w:t>ola</w:t>
            </w:r>
            <w:r w:rsidRPr="007F5B6A">
              <w:rPr>
                <w:rFonts w:ascii="Times New Roman" w:hAnsi="Times New Roman"/>
                <w:sz w:val="20"/>
                <w:szCs w:val="20"/>
                <w:lang w:val="sk-SK"/>
              </w:rPr>
              <w:t xml:space="preserve"> navýšená na </w:t>
            </w:r>
            <w:r w:rsidR="006F769C" w:rsidRPr="007F5B6A">
              <w:rPr>
                <w:rFonts w:ascii="Times New Roman" w:hAnsi="Times New Roman"/>
                <w:sz w:val="20"/>
                <w:szCs w:val="20"/>
                <w:lang w:val="sk-SK"/>
              </w:rPr>
              <w:t>4</w:t>
            </w:r>
            <w:r w:rsidRPr="007F5B6A">
              <w:rPr>
                <w:rFonts w:ascii="Times New Roman" w:hAnsi="Times New Roman"/>
                <w:b/>
                <w:sz w:val="20"/>
                <w:szCs w:val="20"/>
                <w:lang w:val="sk-SK"/>
              </w:rPr>
              <w:t> 000 000</w:t>
            </w:r>
            <w:r w:rsidRPr="007F5B6A">
              <w:rPr>
                <w:rFonts w:ascii="Times New Roman" w:hAnsi="Times New Roman"/>
                <w:sz w:val="20"/>
                <w:szCs w:val="20"/>
                <w:lang w:val="sk-SK"/>
              </w:rPr>
              <w:t xml:space="preserve"> </w:t>
            </w:r>
            <w:r w:rsidR="006F769C" w:rsidRPr="007F5B6A">
              <w:rPr>
                <w:rFonts w:ascii="Times New Roman" w:hAnsi="Times New Roman"/>
                <w:sz w:val="20"/>
                <w:szCs w:val="20"/>
                <w:lang w:val="sk-SK"/>
              </w:rPr>
              <w:t>EUR</w:t>
            </w:r>
            <w:r w:rsidRPr="007F5B6A">
              <w:rPr>
                <w:rFonts w:ascii="Times New Roman" w:hAnsi="Times New Roman"/>
                <w:sz w:val="20"/>
                <w:szCs w:val="20"/>
                <w:lang w:val="sk-SK"/>
              </w:rPr>
              <w:t xml:space="preserve">.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contribution of this measure to the FA1A and to the cross-cutting objectives should be indicated.</w:t>
            </w:r>
          </w:p>
        </w:tc>
        <w:tc>
          <w:tcPr>
            <w:tcW w:w="296" w:type="pct"/>
            <w:shd w:val="clear" w:color="auto" w:fill="FFFFFF" w:themeFill="background1"/>
            <w:vAlign w:val="center"/>
          </w:tcPr>
          <w:p w:rsidR="00E91F7C" w:rsidRPr="007F5B6A" w:rsidRDefault="006F769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Fokusová oblasť 1A</w:t>
            </w:r>
            <w:r w:rsidR="006F769C" w:rsidRPr="007F5B6A">
              <w:rPr>
                <w:rFonts w:ascii="Times New Roman" w:hAnsi="Times New Roman"/>
                <w:sz w:val="20"/>
                <w:szCs w:val="20"/>
                <w:lang w:val="sk-SK"/>
              </w:rPr>
              <w:t xml:space="preserve"> a p</w:t>
            </w:r>
            <w:r w:rsidRPr="007F5B6A">
              <w:rPr>
                <w:rFonts w:ascii="Times New Roman" w:hAnsi="Times New Roman"/>
                <w:sz w:val="20"/>
                <w:szCs w:val="20"/>
                <w:lang w:val="sk-SK"/>
              </w:rPr>
              <w:t>rierezové ciele</w:t>
            </w:r>
            <w:r w:rsidR="006F769C" w:rsidRPr="007F5B6A">
              <w:rPr>
                <w:rFonts w:ascii="Times New Roman" w:hAnsi="Times New Roman"/>
                <w:sz w:val="20"/>
                <w:szCs w:val="20"/>
                <w:lang w:val="sk-SK"/>
              </w:rPr>
              <w:t xml:space="preserve"> boli doplnené.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79.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general principles as regards selection criteria of the different sub-measures should be further developed.</w:t>
            </w:r>
          </w:p>
        </w:tc>
        <w:tc>
          <w:tcPr>
            <w:tcW w:w="296" w:type="pct"/>
            <w:shd w:val="clear" w:color="auto" w:fill="FFFFFF" w:themeFill="background1"/>
            <w:vAlign w:val="center"/>
          </w:tcPr>
          <w:p w:rsidR="00E91F7C" w:rsidRPr="007F5B6A" w:rsidRDefault="00AE10B2" w:rsidP="00AE10B2">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AE10B2">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Princípy nastavenia výberových kritérií </w:t>
            </w:r>
            <w:r w:rsidR="00AE10B2" w:rsidRPr="007F5B6A">
              <w:rPr>
                <w:rFonts w:ascii="Times New Roman" w:hAnsi="Times New Roman"/>
                <w:sz w:val="20"/>
                <w:szCs w:val="20"/>
                <w:lang w:val="sk-SK"/>
              </w:rPr>
              <w:t>boli rozvinuté v súlade s pripomienkou</w:t>
            </w:r>
            <w:r w:rsidR="000A1D6F" w:rsidRPr="007F5B6A">
              <w:rPr>
                <w:rFonts w:ascii="Times New Roman" w:hAnsi="Times New Roman"/>
                <w:sz w:val="20"/>
                <w:szCs w:val="20"/>
                <w:lang w:val="sk-SK"/>
              </w:rPr>
              <w:t>.</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80.</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Under verifiability and controllability the RDP should identify preventing measures to avoid errors in the public procurement procedures.</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0A1D6F"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Preventívne opatrenia boli doplnené.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81.</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Sub-measure 2.1: Provision of individual and/or group advice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clarify what it is meant under certification system and whether it will be possible to get this certification before organizing the public tender. It should also clarify what kind of experience is supposed to be required as a condition.</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0A1D6F"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Certifikačný systém, ako i požiadavky na poskytovateľov poradenstva boli špecifikované.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how this support will be provided (Voucher system, annual payment, etc.).</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AE10B2" w:rsidRPr="007F5B6A" w:rsidRDefault="00AE10B2"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Opatrenie Poradenské služby bude realizované systémom paušálnej sumy nepresahujúcej 100 000 EUR vo forme verejného výdavku v zmysle čl. 67 bod 1) písmena c) nariadenia (EÚ) č. 1303/2013.</w:t>
            </w:r>
          </w:p>
          <w:p w:rsidR="00E91F7C" w:rsidRPr="007F5B6A" w:rsidRDefault="00AE10B2"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Výška paušálnej sumy bude určená počtom hodín a vysúťaženou cenou za poskytnutie poradenske j služby.</w:t>
            </w:r>
            <w:r w:rsidR="00517DB9" w:rsidRPr="007F5B6A">
              <w:rPr>
                <w:rFonts w:ascii="Times New Roman" w:hAnsi="Times New Roman"/>
                <w:sz w:val="20"/>
                <w:szCs w:val="20"/>
                <w:lang w:val="sk-SK"/>
              </w:rPr>
              <w:t xml:space="preserve">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legislative references concerning the topics of the advisory activities should be updated and moved to the part entitled "Links to other legislation".</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0A1D6F"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Legislatívne odkazy boli aktualizované a presunuté.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considered whether the amount of 120 EUR/per hour of advisory service is adapted to the market standards for Slovak Republic.</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517DB9" w:rsidP="00517DB9">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 Viď prepracovaný text daného podopatrenia. max. cena odstránená</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Selecting only one provider of training per topic/activity for the whole programming period may unnecessary reduce the competition. Slovakia should consider using framework contracts or other options compatible with the public procurement rules.</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517DB9">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Na tému/aktivitu nebude na celé programové obdobie  vybraný len 1 poskytovateľ. </w:t>
            </w:r>
            <w:r w:rsidR="000A1D6F" w:rsidRPr="007F5B6A">
              <w:rPr>
                <w:rFonts w:ascii="Times New Roman" w:hAnsi="Times New Roman"/>
                <w:sz w:val="20"/>
                <w:szCs w:val="20"/>
                <w:lang w:val="sk-SK"/>
              </w:rPr>
              <w:t xml:space="preserve">Certifikovaní poradcovia, organizácie združujúce certifikovaných poradcov resp. spoločnosti a organizácie zamestnávajúce certifikovaných poradcov budú vyberaní prostredníctvom verejného obstarávania realizovaného riadiacim orgánom (MPRV SR), resp. PPA.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reference to "training" should be replaced by "advice", as trainings are out of scope of this sub-measure.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0A1D6F">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Slovo „vzdelávanie“ </w:t>
            </w:r>
            <w:r w:rsidR="000A1D6F" w:rsidRPr="007F5B6A">
              <w:rPr>
                <w:rFonts w:ascii="Times New Roman" w:hAnsi="Times New Roman"/>
                <w:sz w:val="20"/>
                <w:szCs w:val="20"/>
                <w:lang w:val="sk-SK"/>
              </w:rPr>
              <w:t>je</w:t>
            </w:r>
            <w:r w:rsidRPr="007F5B6A">
              <w:rPr>
                <w:rFonts w:ascii="Times New Roman" w:hAnsi="Times New Roman"/>
                <w:sz w:val="20"/>
                <w:szCs w:val="20"/>
                <w:lang w:val="sk-SK"/>
              </w:rPr>
              <w:t xml:space="preserve"> v celom texte podopatrenia nahradené slovom „poradenstvo“.</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87.</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Sub-measure 2.3: Training of advisors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 the part "Link to other legislation" Slovakia refers to the European qualification framework without any further explanation in the measure fiche as to how this document will be applied. This reference should be moved to the other part of the measure fiche if this document does not have a legal value.</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0A1D6F">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Európsky kvalifikačný rámec </w:t>
            </w:r>
            <w:r w:rsidR="000A1D6F" w:rsidRPr="007F5B6A">
              <w:rPr>
                <w:rFonts w:ascii="Times New Roman" w:hAnsi="Times New Roman"/>
                <w:sz w:val="20"/>
                <w:szCs w:val="20"/>
                <w:lang w:val="sk-SK"/>
              </w:rPr>
              <w:t>je</w:t>
            </w:r>
            <w:r w:rsidRPr="007F5B6A">
              <w:rPr>
                <w:rFonts w:ascii="Times New Roman" w:hAnsi="Times New Roman"/>
                <w:sz w:val="20"/>
                <w:szCs w:val="20"/>
                <w:lang w:val="sk-SK"/>
              </w:rPr>
              <w:t xml:space="preserve"> z časti „súvislosť s ostatnou legislatívou“ odstránený.</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Further description is needed for taking position as regards eligibility on costs linked to the accreditation of training programmes and modules, costs linked to the register of certified advisors, creation and print of certificates, other overhead costs or share of direct costs as a flat rate.</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0A1D6F" w:rsidP="000A1D6F">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Oprávnené náklady sú špecifikované.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89.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consider whether the eligibility conditions listed below are appropriate for the kind of advisory organizations foreseen and do not create unnecessary complexity:</w:t>
            </w:r>
          </w:p>
          <w:p w:rsidR="00E91F7C" w:rsidRPr="007F5B6A" w:rsidRDefault="00E91F7C" w:rsidP="00975BC8">
            <w:pPr>
              <w:widowControl/>
              <w:numPr>
                <w:ilvl w:val="0"/>
                <w:numId w:val="1"/>
              </w:numPr>
              <w:tabs>
                <w:tab w:val="left" w:pos="33"/>
              </w:tabs>
              <w:adjustRightInd/>
              <w:spacing w:after="0" w:line="240" w:lineRule="auto"/>
              <w:ind w:left="0" w:hanging="426"/>
              <w:jc w:val="both"/>
              <w:rPr>
                <w:rFonts w:ascii="Times New Roman" w:hAnsi="Times New Roman"/>
                <w:sz w:val="20"/>
                <w:szCs w:val="20"/>
                <w:lang w:val="en-GB"/>
              </w:rPr>
            </w:pPr>
            <w:r w:rsidRPr="007F5B6A">
              <w:rPr>
                <w:rFonts w:ascii="Times New Roman" w:hAnsi="Times New Roman"/>
                <w:b/>
                <w:sz w:val="20"/>
                <w:szCs w:val="20"/>
                <w:lang w:val="en-GB"/>
              </w:rPr>
              <w:t>A)</w:t>
            </w:r>
            <w:r w:rsidRPr="007F5B6A">
              <w:rPr>
                <w:rFonts w:ascii="Times New Roman" w:hAnsi="Times New Roman"/>
                <w:sz w:val="20"/>
                <w:szCs w:val="20"/>
                <w:lang w:val="en-GB"/>
              </w:rPr>
              <w:t xml:space="preserve"> having available the elaborated conception of training of advisers;</w:t>
            </w:r>
          </w:p>
          <w:p w:rsidR="00E91F7C" w:rsidRPr="007F5B6A" w:rsidRDefault="00E91F7C" w:rsidP="00975BC8">
            <w:pPr>
              <w:widowControl/>
              <w:numPr>
                <w:ilvl w:val="0"/>
                <w:numId w:val="1"/>
              </w:numPr>
              <w:tabs>
                <w:tab w:val="left" w:pos="33"/>
              </w:tabs>
              <w:adjustRightInd/>
              <w:spacing w:after="0" w:line="240" w:lineRule="auto"/>
              <w:ind w:left="0" w:hanging="426"/>
              <w:jc w:val="both"/>
              <w:rPr>
                <w:rFonts w:ascii="Times New Roman" w:hAnsi="Times New Roman"/>
                <w:sz w:val="20"/>
                <w:szCs w:val="20"/>
                <w:lang w:val="en-GB"/>
              </w:rPr>
            </w:pPr>
            <w:r w:rsidRPr="007F5B6A">
              <w:rPr>
                <w:rFonts w:ascii="Times New Roman" w:hAnsi="Times New Roman"/>
                <w:b/>
                <w:sz w:val="20"/>
                <w:szCs w:val="20"/>
                <w:lang w:val="en-GB"/>
              </w:rPr>
              <w:t>B)</w:t>
            </w:r>
            <w:r w:rsidRPr="007F5B6A">
              <w:rPr>
                <w:rFonts w:ascii="Times New Roman" w:hAnsi="Times New Roman"/>
                <w:sz w:val="20"/>
                <w:szCs w:val="20"/>
                <w:lang w:val="en-GB"/>
              </w:rPr>
              <w:t xml:space="preserve"> possessing the information system accessible by all advisers, or requiring the successful tender to build the information system, which will be made available to all the advisers, where they can get information of all kind; </w:t>
            </w:r>
          </w:p>
          <w:p w:rsidR="00E91F7C" w:rsidRPr="007F5B6A" w:rsidRDefault="00E91F7C" w:rsidP="00975BC8">
            <w:pPr>
              <w:widowControl/>
              <w:numPr>
                <w:ilvl w:val="0"/>
                <w:numId w:val="1"/>
              </w:numPr>
              <w:tabs>
                <w:tab w:val="left" w:pos="33"/>
              </w:tabs>
              <w:adjustRightInd/>
              <w:spacing w:after="0" w:line="240" w:lineRule="auto"/>
              <w:ind w:left="0" w:hanging="426"/>
              <w:jc w:val="both"/>
              <w:rPr>
                <w:rFonts w:ascii="Times New Roman" w:hAnsi="Times New Roman"/>
                <w:sz w:val="20"/>
                <w:szCs w:val="20"/>
                <w:lang w:val="en-GB"/>
              </w:rPr>
            </w:pPr>
            <w:r w:rsidRPr="007F5B6A">
              <w:rPr>
                <w:rFonts w:ascii="Times New Roman" w:hAnsi="Times New Roman"/>
                <w:b/>
                <w:sz w:val="20"/>
                <w:szCs w:val="20"/>
                <w:lang w:val="en-GB"/>
              </w:rPr>
              <w:t>C)</w:t>
            </w:r>
            <w:r w:rsidRPr="007F5B6A">
              <w:rPr>
                <w:rFonts w:ascii="Times New Roman" w:hAnsi="Times New Roman"/>
                <w:sz w:val="20"/>
                <w:szCs w:val="20"/>
                <w:lang w:val="en-GB"/>
              </w:rPr>
              <w:t xml:space="preserve"> under verifiability and controllability of the measure the risks and the mitigating actions to ensure a good implementation should be identified.</w:t>
            </w:r>
          </w:p>
        </w:tc>
        <w:tc>
          <w:tcPr>
            <w:tcW w:w="296" w:type="pct"/>
            <w:shd w:val="clear" w:color="auto" w:fill="FFFFFF" w:themeFill="background1"/>
            <w:vAlign w:val="center"/>
          </w:tcPr>
          <w:p w:rsidR="00E91F7C" w:rsidRPr="007F5B6A" w:rsidRDefault="000A1D6F"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AE10B2" w:rsidRPr="007F5B6A" w:rsidRDefault="00AE10B2"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Vzdelávaním poradcov budú poverené inštitúcie spadajúce pod rezort MPRV SR. Podmienky oprávnenosti sa vzťahujú na tieto inštitúcie a boli upravené.</w:t>
            </w:r>
          </w:p>
          <w:p w:rsidR="00AE10B2" w:rsidRPr="007F5B6A" w:rsidRDefault="00AE10B2" w:rsidP="00E91F7C">
            <w:pPr>
              <w:spacing w:after="0" w:line="240" w:lineRule="auto"/>
              <w:rPr>
                <w:rFonts w:ascii="Times New Roman" w:hAnsi="Times New Roman"/>
                <w:sz w:val="20"/>
                <w:szCs w:val="20"/>
                <w:lang w:val="sk-SK"/>
              </w:rPr>
            </w:pPr>
          </w:p>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Podmienky oprávnenosti sú primerané a potrebné pre dané podopatrenie.</w:t>
            </w:r>
          </w:p>
          <w:p w:rsidR="00E91F7C" w:rsidRPr="007F5B6A" w:rsidRDefault="00E91F7C" w:rsidP="00975BC8">
            <w:pPr>
              <w:numPr>
                <w:ilvl w:val="0"/>
                <w:numId w:val="7"/>
              </w:numPr>
              <w:spacing w:after="0" w:line="240" w:lineRule="auto"/>
              <w:ind w:left="317" w:hanging="283"/>
              <w:rPr>
                <w:rFonts w:ascii="Times New Roman" w:hAnsi="Times New Roman"/>
                <w:sz w:val="20"/>
                <w:szCs w:val="20"/>
                <w:lang w:val="sk-SK"/>
              </w:rPr>
            </w:pPr>
            <w:r w:rsidRPr="007F5B6A">
              <w:rPr>
                <w:rFonts w:ascii="Times New Roman" w:hAnsi="Times New Roman"/>
                <w:sz w:val="20"/>
                <w:szCs w:val="20"/>
                <w:lang w:val="sk-SK"/>
              </w:rPr>
              <w:t>Koncepcia vzdelávania poradcov  bude vypracovaná.</w:t>
            </w:r>
          </w:p>
          <w:p w:rsidR="00E91F7C" w:rsidRPr="007F5B6A" w:rsidRDefault="00E91F7C" w:rsidP="00975BC8">
            <w:pPr>
              <w:numPr>
                <w:ilvl w:val="0"/>
                <w:numId w:val="7"/>
              </w:numPr>
              <w:spacing w:after="0" w:line="240" w:lineRule="auto"/>
              <w:ind w:left="317" w:hanging="283"/>
              <w:rPr>
                <w:rFonts w:ascii="Times New Roman" w:hAnsi="Times New Roman"/>
                <w:sz w:val="20"/>
                <w:szCs w:val="20"/>
                <w:lang w:val="sk-SK"/>
              </w:rPr>
            </w:pPr>
            <w:r w:rsidRPr="007F5B6A">
              <w:rPr>
                <w:rFonts w:ascii="Times New Roman" w:hAnsi="Times New Roman"/>
                <w:sz w:val="20"/>
                <w:szCs w:val="20"/>
                <w:lang w:val="sk-SK"/>
              </w:rPr>
              <w:t xml:space="preserve">Existujúci informačný systém prístupný pre všetkých poradcov je zriadený a funkčný a bude prispôsobený potrebám nového programovacieho obdobia na roky 2014-2020. </w:t>
            </w:r>
          </w:p>
          <w:p w:rsidR="00E91F7C" w:rsidRPr="007F5B6A" w:rsidRDefault="00E91F7C" w:rsidP="00975BC8">
            <w:pPr>
              <w:numPr>
                <w:ilvl w:val="0"/>
                <w:numId w:val="7"/>
              </w:numPr>
              <w:spacing w:after="0" w:line="240" w:lineRule="auto"/>
              <w:ind w:left="317" w:hanging="283"/>
              <w:rPr>
                <w:rFonts w:ascii="Times New Roman" w:hAnsi="Times New Roman"/>
                <w:b/>
                <w:sz w:val="20"/>
                <w:szCs w:val="20"/>
                <w:lang w:val="sk-SK"/>
              </w:rPr>
            </w:pPr>
            <w:r w:rsidRPr="007F5B6A">
              <w:rPr>
                <w:rFonts w:ascii="Times New Roman" w:hAnsi="Times New Roman"/>
                <w:sz w:val="20"/>
                <w:szCs w:val="20"/>
                <w:lang w:val="sk-SK"/>
              </w:rPr>
              <w:t>Overiteľnosť a kontrolovateľnosť je zabezpečená systémom administratívnych kontrol a kontrol na mieste v zmysle legislatívy</w:t>
            </w:r>
            <w:r w:rsidR="000A1D6F" w:rsidRPr="007F5B6A">
              <w:rPr>
                <w:rFonts w:ascii="Times New Roman" w:hAnsi="Times New Roman"/>
                <w:sz w:val="20"/>
                <w:szCs w:val="20"/>
                <w:lang w:val="sk-SK"/>
              </w:rPr>
              <w:t>,</w:t>
            </w:r>
            <w:r w:rsidRPr="007F5B6A">
              <w:rPr>
                <w:rFonts w:ascii="Times New Roman" w:hAnsi="Times New Roman"/>
                <w:sz w:val="20"/>
                <w:szCs w:val="20"/>
                <w:lang w:val="sk-SK"/>
              </w:rPr>
              <w:t xml:space="preserve"> a to pre všetky oprávnené výdavky.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90.</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Measure 4: Investments in physical assets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There should be a reference to Articles 45 and 46 of the Rural Development Regulation (EU) No 1305/2013 as irrigation and drainage are also concerned and provide detail on how the requirements under respective articles will be fulfilled. There should be a link to Art. 65 of the CPR Reg. (EU) No 1303/2013.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345972" w:rsidRPr="007F5B6A" w:rsidRDefault="00345972" w:rsidP="00E91F7C">
            <w:pPr>
              <w:widowControl/>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Články boli doplnené do textu:</w:t>
            </w:r>
          </w:p>
          <w:p w:rsidR="00345972" w:rsidRPr="007F5B6A" w:rsidRDefault="00345972" w:rsidP="00E91F7C">
            <w:pPr>
              <w:widowControl/>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 </w:t>
            </w:r>
            <w:r w:rsidR="00E91F7C" w:rsidRPr="007F5B6A">
              <w:rPr>
                <w:rFonts w:ascii="Times New Roman" w:hAnsi="Times New Roman"/>
                <w:sz w:val="20"/>
                <w:szCs w:val="20"/>
                <w:lang w:val="sk-SK"/>
              </w:rPr>
              <w:t>článok</w:t>
            </w:r>
            <w:r w:rsidRPr="007F5B6A">
              <w:rPr>
                <w:rFonts w:ascii="Times New Roman" w:hAnsi="Times New Roman"/>
                <w:sz w:val="20"/>
                <w:szCs w:val="20"/>
                <w:lang w:val="sk-SK"/>
              </w:rPr>
              <w:t xml:space="preserve"> </w:t>
            </w:r>
            <w:r w:rsidR="00E91F7C" w:rsidRPr="007F5B6A">
              <w:rPr>
                <w:rFonts w:ascii="Times New Roman" w:hAnsi="Times New Roman"/>
                <w:sz w:val="20"/>
                <w:szCs w:val="20"/>
                <w:lang w:val="sk-SK"/>
              </w:rPr>
              <w:t xml:space="preserve"> 45, 46 nariadenia (EÚ) č. 1305/2013</w:t>
            </w:r>
            <w:r w:rsidRPr="007F5B6A">
              <w:rPr>
                <w:rFonts w:ascii="Times New Roman" w:hAnsi="Times New Roman"/>
                <w:sz w:val="20"/>
                <w:szCs w:val="20"/>
                <w:lang w:val="sk-SK"/>
              </w:rPr>
              <w:t>;</w:t>
            </w:r>
          </w:p>
          <w:p w:rsidR="00E91F7C" w:rsidRPr="007F5B6A" w:rsidRDefault="00345972" w:rsidP="00345972">
            <w:pPr>
              <w:widowControl/>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 </w:t>
            </w:r>
            <w:r w:rsidR="00E91F7C" w:rsidRPr="007F5B6A">
              <w:rPr>
                <w:rFonts w:ascii="Times New Roman" w:hAnsi="Times New Roman"/>
                <w:sz w:val="20"/>
                <w:szCs w:val="20"/>
                <w:lang w:val="sk-SK"/>
              </w:rPr>
              <w:t>článok 65 nariadenia (EÚ) č. 1303/2013</w:t>
            </w:r>
            <w:r w:rsidRPr="007F5B6A">
              <w:rPr>
                <w:rFonts w:ascii="Times New Roman" w:hAnsi="Times New Roman"/>
                <w:sz w:val="20"/>
                <w:szCs w:val="20"/>
                <w:lang w:val="sk-SK"/>
              </w:rPr>
              <w:t>.</w:t>
            </w:r>
          </w:p>
          <w:p w:rsidR="00E91F7C" w:rsidRPr="007F5B6A" w:rsidRDefault="00E91F7C" w:rsidP="00E91F7C">
            <w:pPr>
              <w:widowControl/>
              <w:spacing w:after="0" w:line="240" w:lineRule="auto"/>
              <w:rPr>
                <w:rFonts w:ascii="Times New Roman" w:hAnsi="Times New Roman"/>
                <w:b/>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general description of the measure should better refer to the SWOT analysis and needs identified, in view of better targeting the actions proposed. Its structure is complex with several types of operations of similar scope which could be easily merged. The structure of the measure needs to be reviewed and simplified. The contribution to the cross-cutting objectives should be also explained.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B0197A" w:rsidRPr="007F5B6A" w:rsidRDefault="00B0197A" w:rsidP="00B0197A">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Štruktúra opatrenia bola zjednodušená a počet operácií bol znížený na 5. Všeobecný opis opatrenia bol prepracovaný aby lepšie odrážal SWOT analýzu.</w:t>
            </w:r>
          </w:p>
          <w:p w:rsidR="00E91F7C" w:rsidRPr="007F5B6A" w:rsidRDefault="00B0197A"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 doplnený text k prierezovým cieľom.</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92.</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type of activities to be supported under this measure in the RDP and not in the annex, which is currently the case. The detailed list of operations should be avoided. Slovak authorities are invited also to give clarification whether prevention against large carnivores is a supported activity (on pastures, protection of beehives etc.)</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B0197A" w:rsidP="00975BC8">
            <w:pPr>
              <w:widowControl/>
              <w:numPr>
                <w:ilvl w:val="0"/>
                <w:numId w:val="10"/>
              </w:numPr>
              <w:spacing w:after="0" w:line="240" w:lineRule="auto"/>
              <w:ind w:left="317" w:hanging="283"/>
              <w:rPr>
                <w:rFonts w:ascii="Times New Roman" w:hAnsi="Times New Roman"/>
                <w:sz w:val="20"/>
                <w:szCs w:val="20"/>
                <w:lang w:val="sk-SK"/>
              </w:rPr>
            </w:pPr>
            <w:r w:rsidRPr="007F5B6A">
              <w:rPr>
                <w:rFonts w:ascii="Times New Roman" w:hAnsi="Times New Roman"/>
                <w:sz w:val="20"/>
                <w:szCs w:val="20"/>
                <w:lang w:val="sk-SK"/>
              </w:rPr>
              <w:t>druh činnosti je doplnený priamo do PRV</w:t>
            </w:r>
          </w:p>
          <w:p w:rsidR="00E91F7C" w:rsidRPr="007F5B6A" w:rsidRDefault="00E91F7C" w:rsidP="00975BC8">
            <w:pPr>
              <w:widowControl/>
              <w:numPr>
                <w:ilvl w:val="0"/>
                <w:numId w:val="10"/>
              </w:numPr>
              <w:spacing w:after="0" w:line="240" w:lineRule="auto"/>
              <w:ind w:left="317" w:hanging="283"/>
              <w:rPr>
                <w:rFonts w:ascii="Times New Roman" w:hAnsi="Times New Roman"/>
                <w:sz w:val="20"/>
                <w:szCs w:val="20"/>
                <w:lang w:val="sk-SK"/>
              </w:rPr>
            </w:pPr>
            <w:r w:rsidRPr="007F5B6A">
              <w:rPr>
                <w:rFonts w:ascii="Times New Roman" w:hAnsi="Times New Roman"/>
                <w:sz w:val="20"/>
                <w:szCs w:val="20"/>
                <w:lang w:val="sk-SK"/>
              </w:rPr>
              <w:t>v rámci opatrenia sú podporované investície na ochranu pred divou zverou.</w:t>
            </w:r>
          </w:p>
          <w:p w:rsidR="00E91F7C" w:rsidRPr="007F5B6A" w:rsidRDefault="00E91F7C" w:rsidP="00975BC8">
            <w:pPr>
              <w:widowControl/>
              <w:numPr>
                <w:ilvl w:val="0"/>
                <w:numId w:val="10"/>
              </w:numPr>
              <w:spacing w:after="0" w:line="240" w:lineRule="auto"/>
              <w:ind w:left="317" w:hanging="283"/>
              <w:rPr>
                <w:rFonts w:ascii="Times New Roman" w:hAnsi="Times New Roman"/>
                <w:sz w:val="20"/>
                <w:szCs w:val="20"/>
                <w:lang w:val="sk-SK"/>
              </w:rPr>
            </w:pPr>
            <w:r w:rsidRPr="007F5B6A">
              <w:rPr>
                <w:rFonts w:ascii="Times New Roman" w:hAnsi="Times New Roman"/>
                <w:sz w:val="20"/>
                <w:szCs w:val="20"/>
                <w:lang w:val="sk-SK"/>
              </w:rPr>
              <w:t>v rámci pasienkov sú na ochranu určené investície do výstavby oplôtkou a do obnovy pasienkového areálu.</w:t>
            </w:r>
          </w:p>
          <w:p w:rsidR="00E91F7C" w:rsidRPr="007F5B6A" w:rsidRDefault="00E91F7C" w:rsidP="00975BC8">
            <w:pPr>
              <w:widowControl/>
              <w:numPr>
                <w:ilvl w:val="0"/>
                <w:numId w:val="10"/>
              </w:numPr>
              <w:spacing w:after="0" w:line="240" w:lineRule="auto"/>
              <w:ind w:left="317" w:hanging="283"/>
              <w:rPr>
                <w:rFonts w:ascii="Times New Roman" w:hAnsi="Times New Roman"/>
                <w:b/>
                <w:sz w:val="20"/>
                <w:szCs w:val="20"/>
                <w:lang w:val="sk-SK"/>
              </w:rPr>
            </w:pPr>
            <w:r w:rsidRPr="007F5B6A">
              <w:rPr>
                <w:rFonts w:ascii="Times New Roman" w:hAnsi="Times New Roman"/>
                <w:sz w:val="20"/>
                <w:szCs w:val="20"/>
                <w:lang w:val="sk-SK"/>
              </w:rPr>
              <w:t>-ochrana včelích úľov je podporovaná v rámci programu rozvoja včelárstva</w:t>
            </w:r>
            <w:r w:rsidR="001F57B0" w:rsidRPr="007F5B6A">
              <w:rPr>
                <w:rFonts w:ascii="Times New Roman" w:hAnsi="Times New Roman"/>
                <w:sz w:val="20"/>
                <w:szCs w:val="20"/>
                <w:lang w:val="sk-SK"/>
              </w:rPr>
              <w:t>.</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description of verifiability and controllability is insufficient. It is not clear, whether recent audits or the error rate exercise has been taken into account and how the Paying Agency was involved in this assessment. Specific mitigating actions, other than the normal control measures should be indicated to address specific risks. Slovakia should complete this aspect with the relevant assessment under each sub-measure or type of operation.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B0197A"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Bol doplnený text opisu overiteľnosti a kontrolovateľnosti.</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measure has 9 types of operations, sometimes differing only on the type of beneficiaries or actions, which could be easily grouped under the same sub-measure. The categories of eligible costs; must be better described (general categories "buildings" or "material" are not enough), and some items which are not eligible costs have to be excluded (this is for instance the case for costs under Art. 45 (d) where only the closed list of intangible investments mentioned there can be financed). It should also be indicated whether contribution in kind, second hand equipment or simplified costs are expected to be applied, or otherwise these should be specified under the non-eligible costs.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Opatrenie b</w:t>
            </w:r>
            <w:r w:rsidR="00A568FC" w:rsidRPr="007F5B6A">
              <w:rPr>
                <w:rFonts w:ascii="Times New Roman" w:hAnsi="Times New Roman"/>
                <w:sz w:val="20"/>
                <w:szCs w:val="20"/>
                <w:lang w:val="sk-SK"/>
              </w:rPr>
              <w:t>olo</w:t>
            </w:r>
            <w:r w:rsidRPr="007F5B6A">
              <w:rPr>
                <w:rFonts w:ascii="Times New Roman" w:hAnsi="Times New Roman"/>
                <w:sz w:val="20"/>
                <w:szCs w:val="20"/>
                <w:lang w:val="sk-SK"/>
              </w:rPr>
              <w:t xml:space="preserve"> prepracované aj v zmysle pripomienky 2A (viď jej vyhodnotenie). Oprávnené náklady b</w:t>
            </w:r>
            <w:r w:rsidR="00A568FC" w:rsidRPr="007F5B6A">
              <w:rPr>
                <w:rFonts w:ascii="Times New Roman" w:hAnsi="Times New Roman"/>
                <w:sz w:val="20"/>
                <w:szCs w:val="20"/>
                <w:lang w:val="sk-SK"/>
              </w:rPr>
              <w:t>oli</w:t>
            </w:r>
            <w:r w:rsidRPr="007F5B6A">
              <w:rPr>
                <w:rFonts w:ascii="Times New Roman" w:hAnsi="Times New Roman"/>
                <w:sz w:val="20"/>
                <w:szCs w:val="20"/>
                <w:lang w:val="sk-SK"/>
              </w:rPr>
              <w:t xml:space="preserve"> upravené v  zmysle čl. 45d </w:t>
            </w:r>
            <w:r w:rsidR="00A568FC" w:rsidRPr="007F5B6A">
              <w:rPr>
                <w:rFonts w:ascii="Times New Roman" w:hAnsi="Times New Roman"/>
                <w:sz w:val="20"/>
                <w:szCs w:val="20"/>
                <w:lang w:val="sk-SK"/>
              </w:rPr>
              <w:t>n</w:t>
            </w:r>
            <w:r w:rsidRPr="007F5B6A">
              <w:rPr>
                <w:rFonts w:ascii="Times New Roman" w:hAnsi="Times New Roman"/>
                <w:sz w:val="20"/>
                <w:szCs w:val="20"/>
                <w:lang w:val="sk-SK"/>
              </w:rPr>
              <w:t>ariadenia</w:t>
            </w:r>
            <w:r w:rsidR="00A568FC" w:rsidRPr="007F5B6A">
              <w:rPr>
                <w:rFonts w:ascii="Times New Roman" w:hAnsi="Times New Roman"/>
                <w:sz w:val="20"/>
                <w:szCs w:val="20"/>
                <w:lang w:val="sk-SK"/>
              </w:rPr>
              <w:t xml:space="preserve"> (EÚ)</w:t>
            </w:r>
            <w:r w:rsidRPr="007F5B6A">
              <w:rPr>
                <w:rFonts w:ascii="Times New Roman" w:hAnsi="Times New Roman"/>
                <w:sz w:val="20"/>
                <w:szCs w:val="20"/>
                <w:lang w:val="sk-SK"/>
              </w:rPr>
              <w:t xml:space="preserve"> 1305/2013.</w:t>
            </w:r>
          </w:p>
          <w:p w:rsidR="00E91F7C" w:rsidRPr="007F5B6A" w:rsidRDefault="00E91F7C" w:rsidP="00A568FC">
            <w:pPr>
              <w:spacing w:after="0" w:line="240" w:lineRule="auto"/>
              <w:rPr>
                <w:rFonts w:ascii="Times New Roman" w:hAnsi="Times New Roman"/>
                <w:sz w:val="20"/>
                <w:szCs w:val="20"/>
                <w:lang w:val="sk-SK"/>
              </w:rPr>
            </w:pPr>
            <w:r w:rsidRPr="007F5B6A">
              <w:rPr>
                <w:rFonts w:ascii="Times New Roman" w:hAnsi="Times New Roman"/>
                <w:sz w:val="20"/>
                <w:szCs w:val="20"/>
                <w:lang w:val="sk-SK"/>
              </w:rPr>
              <w:t>V rámci tohto opatrenia budú presnejšie zadefinované jednotlivé oprávnené náklady v spojitosti s čl. 45 1305/2014.  Zároveň b</w:t>
            </w:r>
            <w:r w:rsidR="00A568FC" w:rsidRPr="007F5B6A">
              <w:rPr>
                <w:rFonts w:ascii="Times New Roman" w:hAnsi="Times New Roman"/>
                <w:sz w:val="20"/>
                <w:szCs w:val="20"/>
                <w:lang w:val="sk-SK"/>
              </w:rPr>
              <w:t>oli</w:t>
            </w:r>
            <w:r w:rsidRPr="007F5B6A">
              <w:rPr>
                <w:rFonts w:ascii="Times New Roman" w:hAnsi="Times New Roman"/>
                <w:sz w:val="20"/>
                <w:szCs w:val="20"/>
                <w:lang w:val="sk-SK"/>
              </w:rPr>
              <w:t xml:space="preserve"> v jednotlivých opatreniach zadefinované osobitosti v zmysle 45/6 1305/2014, t.j. lízing a nákup z druhej ruky.</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confirm whether and in which sub-measure integrated operations and/or integrated projects will be supported. In such case the value-added of implementing the operations together instead of in a separate way has to be justified.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A568F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Integrované projekty boli</w:t>
            </w:r>
            <w:r w:rsidR="00E91F7C" w:rsidRPr="007F5B6A">
              <w:rPr>
                <w:rFonts w:ascii="Times New Roman" w:hAnsi="Times New Roman"/>
                <w:sz w:val="20"/>
                <w:szCs w:val="20"/>
                <w:lang w:val="sk-SK"/>
              </w:rPr>
              <w:t xml:space="preserve"> upravené v zmysle pripomienky a dôkladne zvážené pri prepracovávaní celého opatrenia č. 4 (viď pripomienka 2A).</w:t>
            </w:r>
          </w:p>
          <w:p w:rsidR="00E91F7C" w:rsidRPr="007F5B6A" w:rsidRDefault="00E91F7C" w:rsidP="00A568FC">
            <w:pPr>
              <w:spacing w:after="0" w:line="240" w:lineRule="auto"/>
              <w:rPr>
                <w:rFonts w:ascii="Times New Roman" w:hAnsi="Times New Roman"/>
                <w:sz w:val="20"/>
                <w:szCs w:val="20"/>
                <w:lang w:val="sk-SK"/>
              </w:rPr>
            </w:pPr>
            <w:r w:rsidRPr="007F5B6A">
              <w:rPr>
                <w:rFonts w:ascii="Times New Roman" w:hAnsi="Times New Roman"/>
                <w:sz w:val="20"/>
                <w:szCs w:val="20"/>
                <w:lang w:val="sk-SK"/>
              </w:rPr>
              <w:t>V rámci opatrení b</w:t>
            </w:r>
            <w:r w:rsidR="00A568FC" w:rsidRPr="007F5B6A">
              <w:rPr>
                <w:rFonts w:ascii="Times New Roman" w:hAnsi="Times New Roman"/>
                <w:sz w:val="20"/>
                <w:szCs w:val="20"/>
                <w:lang w:val="sk-SK"/>
              </w:rPr>
              <w:t>olo</w:t>
            </w:r>
            <w:r w:rsidRPr="007F5B6A">
              <w:rPr>
                <w:rFonts w:ascii="Times New Roman" w:hAnsi="Times New Roman"/>
                <w:sz w:val="20"/>
                <w:szCs w:val="20"/>
                <w:lang w:val="sk-SK"/>
              </w:rPr>
              <w:t xml:space="preserve"> presne opísané použitie integrovaných projektov aj s ich spoločnou pridanou hodnotou. SR plánuje v určitých opatreniach využiť integrované projekty. Popis b</w:t>
            </w:r>
            <w:r w:rsidR="00A568FC" w:rsidRPr="007F5B6A">
              <w:rPr>
                <w:rFonts w:ascii="Times New Roman" w:hAnsi="Times New Roman"/>
                <w:sz w:val="20"/>
                <w:szCs w:val="20"/>
                <w:lang w:val="sk-SK"/>
              </w:rPr>
              <w:t>ol</w:t>
            </w:r>
            <w:r w:rsidRPr="007F5B6A">
              <w:rPr>
                <w:rFonts w:ascii="Times New Roman" w:hAnsi="Times New Roman"/>
                <w:sz w:val="20"/>
                <w:szCs w:val="20"/>
                <w:lang w:val="sk-SK"/>
              </w:rPr>
              <w:t xml:space="preserve"> urobený v nadväznosti na zjednodušenie a zníženie počtu opatrení na základe viacerých predchádzajúcich pripomienok. B</w:t>
            </w:r>
            <w:r w:rsidR="00A568FC" w:rsidRPr="007F5B6A">
              <w:rPr>
                <w:rFonts w:ascii="Times New Roman" w:hAnsi="Times New Roman"/>
                <w:sz w:val="20"/>
                <w:szCs w:val="20"/>
                <w:lang w:val="sk-SK"/>
              </w:rPr>
              <w:t>oli</w:t>
            </w:r>
            <w:r w:rsidRPr="007F5B6A">
              <w:rPr>
                <w:rFonts w:ascii="Times New Roman" w:hAnsi="Times New Roman"/>
                <w:sz w:val="20"/>
                <w:szCs w:val="20"/>
                <w:lang w:val="sk-SK"/>
              </w:rPr>
              <w:t xml:space="preserve"> presnejšie zadefinované jednotlivé oprávnené náklady v spojitosti s čl. 45 </w:t>
            </w:r>
            <w:r w:rsidR="009A098F" w:rsidRPr="007F5B6A">
              <w:rPr>
                <w:rFonts w:ascii="Times New Roman" w:hAnsi="Times New Roman"/>
                <w:sz w:val="20"/>
                <w:szCs w:val="20"/>
                <w:lang w:val="sk-SK"/>
              </w:rPr>
              <w:t>(EÚ)</w:t>
            </w:r>
            <w:r w:rsidRPr="007F5B6A">
              <w:rPr>
                <w:rFonts w:ascii="Times New Roman" w:hAnsi="Times New Roman"/>
                <w:sz w:val="20"/>
                <w:szCs w:val="20"/>
                <w:lang w:val="sk-SK"/>
              </w:rPr>
              <w:t xml:space="preserve">1305/2014.  </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96.</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simplified costs options should be described under each sub-measure/type of operations.</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Vyhodnotenie tejto pripomienky sa dotýka prierezovo celého program</w:t>
            </w:r>
            <w:r w:rsidR="009A098F" w:rsidRPr="007F5B6A">
              <w:rPr>
                <w:rFonts w:ascii="Times New Roman" w:hAnsi="Times New Roman"/>
                <w:sz w:val="20"/>
                <w:szCs w:val="20"/>
                <w:lang w:val="sk-SK"/>
              </w:rPr>
              <w:t>u</w:t>
            </w:r>
            <w:r w:rsidRPr="007F5B6A">
              <w:rPr>
                <w:rFonts w:ascii="Times New Roman" w:hAnsi="Times New Roman"/>
                <w:sz w:val="20"/>
                <w:szCs w:val="20"/>
                <w:lang w:val="sk-SK"/>
              </w:rPr>
              <w:t>.</w:t>
            </w:r>
          </w:p>
          <w:p w:rsidR="00E91F7C" w:rsidRPr="007F5B6A" w:rsidRDefault="00E91F7C" w:rsidP="001815F4">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V rámci každého opatrenia </w:t>
            </w:r>
            <w:r w:rsidR="009A098F" w:rsidRPr="007F5B6A">
              <w:rPr>
                <w:rFonts w:ascii="Times New Roman" w:hAnsi="Times New Roman"/>
                <w:sz w:val="20"/>
                <w:szCs w:val="20"/>
                <w:lang w:val="sk-SK"/>
              </w:rPr>
              <w:t>je</w:t>
            </w:r>
            <w:r w:rsidRPr="007F5B6A">
              <w:rPr>
                <w:rFonts w:ascii="Times New Roman" w:hAnsi="Times New Roman"/>
                <w:sz w:val="20"/>
                <w:szCs w:val="20"/>
                <w:lang w:val="sk-SK"/>
              </w:rPr>
              <w:t xml:space="preserve"> opísané zjednodušené vykazovanie nákladov a kto ho vypracoval resp. overil SR</w:t>
            </w:r>
            <w:r w:rsidR="001815F4" w:rsidRPr="007F5B6A">
              <w:rPr>
                <w:rFonts w:ascii="Times New Roman" w:hAnsi="Times New Roman"/>
                <w:sz w:val="20"/>
                <w:szCs w:val="20"/>
                <w:lang w:val="sk-SK"/>
              </w:rPr>
              <w:t>,</w:t>
            </w:r>
            <w:r w:rsidRPr="007F5B6A">
              <w:rPr>
                <w:rFonts w:ascii="Times New Roman" w:hAnsi="Times New Roman"/>
                <w:sz w:val="20"/>
                <w:szCs w:val="20"/>
                <w:lang w:val="sk-SK"/>
              </w:rPr>
              <w:t xml:space="preserve"> ak to </w:t>
            </w:r>
            <w:r w:rsidR="001815F4" w:rsidRPr="007F5B6A">
              <w:rPr>
                <w:rFonts w:ascii="Times New Roman" w:hAnsi="Times New Roman"/>
                <w:sz w:val="20"/>
                <w:szCs w:val="20"/>
                <w:lang w:val="sk-SK"/>
              </w:rPr>
              <w:t>je</w:t>
            </w:r>
            <w:r w:rsidRPr="007F5B6A">
              <w:rPr>
                <w:rFonts w:ascii="Times New Roman" w:hAnsi="Times New Roman"/>
                <w:sz w:val="20"/>
                <w:szCs w:val="20"/>
                <w:lang w:val="sk-SK"/>
              </w:rPr>
              <w:t xml:space="preserve"> pre dané opatrenie relevantné.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97.</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Sub-measure 4.1: Support for investments in agricultural holdings </w:t>
            </w:r>
          </w:p>
          <w:p w:rsidR="00E91F7C" w:rsidRPr="007F5B6A" w:rsidRDefault="00E91F7C"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A. Investments in physical assets contributing to increase of competitiveness of agricultural holdings</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how the investments to support farm restructuring are targeted based on the SWOT analysis and needs assessment carried out in relation to the Union priority for rural development "enhancing farm viability and competitiveness of all types of agriculture in all regions and promoting innovative farm technologies and sustainable management of forests". The reference is made only on small farms based on the ESU. This unit is not in use anymore.</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Bol upravený a doplnený príslušný text.</w:t>
            </w:r>
            <w:r w:rsidR="00517DB9" w:rsidRPr="007F5B6A">
              <w:rPr>
                <w:rFonts w:ascii="Times New Roman" w:hAnsi="Times New Roman"/>
                <w:sz w:val="20"/>
                <w:szCs w:val="20"/>
                <w:lang w:val="sk-SK"/>
              </w:rPr>
              <w:t xml:space="preserve"> Targeting bol dôkladne nastavený a nalinkovaný na SWOT analýzu. Zacielenie je sektorové a to špecializovaná rastlinná výroba a živočíšna výroba a pre reštrukturalizáciu bol nastavený </w:t>
            </w:r>
            <w:r w:rsidR="00845ED9" w:rsidRPr="007F5B6A">
              <w:rPr>
                <w:rFonts w:ascii="Times New Roman" w:hAnsi="Times New Roman"/>
                <w:sz w:val="20"/>
                <w:szCs w:val="20"/>
                <w:lang w:val="sk-SK"/>
              </w:rPr>
              <w:t xml:space="preserve">cieľ pre farmy so </w:t>
            </w:r>
            <w:r w:rsidR="00DB503B" w:rsidRPr="007F5B6A">
              <w:rPr>
                <w:rFonts w:ascii="Times New Roman" w:hAnsi="Times New Roman"/>
                <w:sz w:val="20"/>
                <w:szCs w:val="20"/>
                <w:lang w:val="sk-SK"/>
              </w:rPr>
              <w:t>štandardným</w:t>
            </w:r>
            <w:r w:rsidR="00845ED9" w:rsidRPr="007F5B6A">
              <w:rPr>
                <w:rFonts w:ascii="Times New Roman" w:hAnsi="Times New Roman"/>
                <w:sz w:val="20"/>
                <w:szCs w:val="20"/>
                <w:lang w:val="sk-SK"/>
              </w:rPr>
              <w:t xml:space="preserve"> výstupom v rozmedzí 15.000 až 249.999.</w:t>
            </w:r>
          </w:p>
          <w:p w:rsidR="00E91F7C" w:rsidRPr="007F5B6A" w:rsidRDefault="00E91F7C" w:rsidP="00517DB9">
            <w:pPr>
              <w:widowControl/>
              <w:spacing w:after="0" w:line="240" w:lineRule="auto"/>
              <w:rPr>
                <w:rFonts w:ascii="Times New Roman" w:hAnsi="Times New Roman"/>
                <w:b/>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98.</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selection criteria with the principles such as use of scoring points for ranking projects and minimum threshold of points (quality criteria) should be completed.  </w:t>
            </w:r>
          </w:p>
        </w:tc>
        <w:tc>
          <w:tcPr>
            <w:tcW w:w="296" w:type="pct"/>
            <w:shd w:val="clear" w:color="auto" w:fill="FFFFFF" w:themeFill="background1"/>
            <w:vAlign w:val="center"/>
          </w:tcPr>
          <w:p w:rsidR="00E91F7C" w:rsidRPr="007F5B6A" w:rsidRDefault="00B0197A"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B0197A"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Boli doplnené výberové kritériá spolu s princípmi.</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99.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by which means overcompensation or double financing with the investments supported under the CAP Pillar I, in particular in the fruit &amp; vegetables and wine sectors will be excluded.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adjustRightInd/>
              <w:spacing w:after="0" w:line="240" w:lineRule="auto"/>
              <w:rPr>
                <w:rFonts w:ascii="Times New Roman" w:hAnsi="Times New Roman"/>
                <w:sz w:val="20"/>
                <w:szCs w:val="20"/>
                <w:lang w:val="sk-SK"/>
              </w:rPr>
            </w:pPr>
            <w:r w:rsidRPr="007F5B6A">
              <w:rPr>
                <w:rFonts w:ascii="Times New Roman" w:hAnsi="Times New Roman"/>
                <w:sz w:val="20"/>
                <w:szCs w:val="20"/>
                <w:shd w:val="clear" w:color="auto" w:fill="FDE9D9" w:themeFill="accent6" w:themeFillTint="33"/>
                <w:lang w:val="sk-SK"/>
              </w:rPr>
              <w:t>B</w:t>
            </w:r>
            <w:r w:rsidR="00B0197A" w:rsidRPr="007F5B6A">
              <w:rPr>
                <w:rFonts w:ascii="Times New Roman" w:hAnsi="Times New Roman"/>
                <w:sz w:val="20"/>
                <w:szCs w:val="20"/>
                <w:shd w:val="clear" w:color="auto" w:fill="FDE9D9" w:themeFill="accent6" w:themeFillTint="33"/>
                <w:lang w:val="sk-SK"/>
              </w:rPr>
              <w:t>oli</w:t>
            </w:r>
            <w:r w:rsidRPr="007F5B6A">
              <w:rPr>
                <w:rFonts w:ascii="Times New Roman" w:hAnsi="Times New Roman"/>
                <w:sz w:val="20"/>
                <w:szCs w:val="20"/>
                <w:shd w:val="clear" w:color="auto" w:fill="FDE9D9" w:themeFill="accent6" w:themeFillTint="33"/>
                <w:lang w:val="sk-SK"/>
              </w:rPr>
              <w:t xml:space="preserve"> j</w:t>
            </w:r>
            <w:r w:rsidRPr="007F5B6A">
              <w:rPr>
                <w:rFonts w:ascii="Times New Roman" w:hAnsi="Times New Roman"/>
                <w:sz w:val="20"/>
                <w:szCs w:val="20"/>
                <w:lang w:val="sk-SK"/>
              </w:rPr>
              <w:t>ednoznačne určené demarkačné línie medzi financovaním investičných opatrení v rámci PRV a spoločnej organizácie trhu (SOT).</w:t>
            </w:r>
          </w:p>
          <w:p w:rsidR="00E91F7C" w:rsidRPr="007F5B6A" w:rsidRDefault="00E91F7C" w:rsidP="00E91F7C">
            <w:pPr>
              <w:widowControl/>
              <w:adjustRightInd/>
              <w:spacing w:after="0" w:line="240" w:lineRule="auto"/>
              <w:rPr>
                <w:rFonts w:ascii="Times New Roman" w:hAnsi="Times New Roman"/>
                <w:i/>
                <w:sz w:val="20"/>
                <w:szCs w:val="20"/>
                <w:lang w:val="sk-SK"/>
              </w:rPr>
            </w:pPr>
            <w:r w:rsidRPr="007F5B6A">
              <w:rPr>
                <w:rFonts w:ascii="Times New Roman" w:hAnsi="Times New Roman"/>
                <w:i/>
                <w:sz w:val="20"/>
                <w:szCs w:val="20"/>
                <w:lang w:val="sk-SK"/>
              </w:rPr>
              <w:t xml:space="preserve">- Sektor vinohradníctva a vinárstva </w:t>
            </w:r>
            <w:r w:rsidRPr="007F5B6A">
              <w:rPr>
                <w:rFonts w:ascii="Times New Roman" w:hAnsi="Times New Roman"/>
                <w:sz w:val="20"/>
                <w:szCs w:val="20"/>
                <w:lang w:val="sk-SK"/>
              </w:rPr>
              <w:t>Národný podporný program v rámci SOT s vínom na roky 2014 – 2018 (opatrenie  Investície – jedná sa investície do nákupu vnútorného vybavenia pre predajné a prezentačné</w:t>
            </w:r>
          </w:p>
          <w:p w:rsidR="00E91F7C" w:rsidRPr="007F5B6A" w:rsidRDefault="00E91F7C" w:rsidP="00E91F7C">
            <w:pPr>
              <w:widowControl/>
              <w:autoSpaceDE w:val="0"/>
              <w:autoSpaceDN w:val="0"/>
              <w:spacing w:after="0" w:line="240" w:lineRule="auto"/>
              <w:rPr>
                <w:rFonts w:ascii="Times New Roman" w:hAnsi="Times New Roman"/>
                <w:sz w:val="20"/>
                <w:szCs w:val="20"/>
                <w:lang w:val="sk-SK"/>
              </w:rPr>
            </w:pPr>
            <w:r w:rsidRPr="007F5B6A">
              <w:rPr>
                <w:rFonts w:ascii="Times New Roman" w:hAnsi="Times New Roman"/>
                <w:sz w:val="20"/>
                <w:szCs w:val="20"/>
                <w:lang w:val="sk-SK"/>
              </w:rPr>
              <w:t>priestory v rámci výrobného podniku (napr. nábytok, chladiace zariadenia, dres/mokrý pult, výčapné zariadenia a pod.); vylúčené sú náklady na stavebné práce, vylúčené sú pojazdné stánky, oprávnené sú iba náklady na nákup hmotného majetku; investície do označovania vinárskych produktov, vrátane systému vysledovateľnosti hrozna (nové etikety s QR kódmi).</w:t>
            </w:r>
          </w:p>
          <w:p w:rsidR="00E91F7C" w:rsidRPr="007F5B6A" w:rsidRDefault="00E91F7C" w:rsidP="00E91F7C">
            <w:pPr>
              <w:widowControl/>
              <w:adjustRightInd/>
              <w:spacing w:after="0" w:line="240" w:lineRule="auto"/>
              <w:rPr>
                <w:rFonts w:ascii="Times New Roman" w:hAnsi="Times New Roman"/>
                <w:i/>
                <w:sz w:val="20"/>
                <w:szCs w:val="20"/>
                <w:lang w:val="sk-SK"/>
              </w:rPr>
            </w:pPr>
          </w:p>
          <w:p w:rsidR="00E91F7C" w:rsidRPr="007F5B6A" w:rsidRDefault="00E91F7C" w:rsidP="00E91F7C">
            <w:pPr>
              <w:widowControl/>
              <w:adjustRightInd/>
              <w:spacing w:after="0" w:line="240" w:lineRule="auto"/>
              <w:rPr>
                <w:rFonts w:ascii="Times New Roman" w:hAnsi="Times New Roman"/>
                <w:i/>
                <w:sz w:val="20"/>
                <w:szCs w:val="20"/>
                <w:lang w:val="sk-SK"/>
              </w:rPr>
            </w:pPr>
            <w:r w:rsidRPr="007F5B6A">
              <w:rPr>
                <w:rFonts w:ascii="Times New Roman" w:hAnsi="Times New Roman"/>
                <w:i/>
                <w:sz w:val="20"/>
                <w:szCs w:val="20"/>
                <w:lang w:val="sk-SK"/>
              </w:rPr>
              <w:t>-Sektor ovocinárstva a zeleninárstva (OZ)</w:t>
            </w:r>
          </w:p>
          <w:p w:rsidR="00E91F7C" w:rsidRPr="007F5B6A" w:rsidRDefault="00E91F7C" w:rsidP="00E91F7C">
            <w:pPr>
              <w:widowControl/>
              <w:autoSpaceDE w:val="0"/>
              <w:autoSpaceDN w:val="0"/>
              <w:spacing w:after="0" w:line="240" w:lineRule="auto"/>
              <w:rPr>
                <w:rFonts w:ascii="Times New Roman" w:hAnsi="Times New Roman"/>
                <w:sz w:val="20"/>
                <w:szCs w:val="20"/>
                <w:lang w:val="sk-SK"/>
              </w:rPr>
            </w:pPr>
            <w:r w:rsidRPr="007F5B6A">
              <w:rPr>
                <w:rFonts w:ascii="Times New Roman" w:hAnsi="Times New Roman"/>
                <w:sz w:val="20"/>
                <w:szCs w:val="20"/>
                <w:lang w:val="sk-SK"/>
              </w:rPr>
              <w:t>Vzhľadom na nízku organizovanosť pestovateľov v sektore OZ do organizácií výrobcov (OV) neuvažujeme s  obmedzením formou finančného limitu.</w:t>
            </w:r>
          </w:p>
          <w:p w:rsidR="00E91F7C" w:rsidRPr="007F5B6A" w:rsidRDefault="00E91F7C" w:rsidP="00E91F7C">
            <w:pPr>
              <w:widowControl/>
              <w:autoSpaceDE w:val="0"/>
              <w:autoSpaceDN w:val="0"/>
              <w:spacing w:after="0" w:line="240" w:lineRule="auto"/>
              <w:rPr>
                <w:rFonts w:ascii="Times New Roman" w:hAnsi="Times New Roman"/>
                <w:sz w:val="20"/>
                <w:szCs w:val="20"/>
                <w:lang w:val="sk-SK"/>
              </w:rPr>
            </w:pPr>
            <w:r w:rsidRPr="007F5B6A">
              <w:rPr>
                <w:rFonts w:ascii="Times New Roman" w:hAnsi="Times New Roman"/>
                <w:sz w:val="20"/>
                <w:szCs w:val="20"/>
                <w:lang w:val="sk-SK"/>
              </w:rPr>
              <w:t>-Ak  predloží OV  žiadosť na nákup investícii   (na stroje a zariadenia)  v rámci operačného programu  SOT, je potrebné skontrolovať, či rovnaká investícia  nebola podaná jednotlivými  členmi OV v rámci PRV.  Priestor vidíme v dôslednej administratívnej kontrole a kontrole na mieste (dvoch odborov PPA -  SOT a PRV)  napr.  originality faktúr,  výrobného čísla zariadenia.</w:t>
            </w:r>
          </w:p>
          <w:p w:rsidR="00E91F7C" w:rsidRPr="007F5B6A" w:rsidRDefault="00E91F7C" w:rsidP="00E91F7C">
            <w:pPr>
              <w:widowControl/>
              <w:autoSpaceDE w:val="0"/>
              <w:autoSpaceDN w:val="0"/>
              <w:spacing w:after="0" w:line="240" w:lineRule="auto"/>
              <w:rPr>
                <w:rFonts w:ascii="Times New Roman" w:hAnsi="Times New Roman"/>
                <w:sz w:val="20"/>
                <w:szCs w:val="20"/>
                <w:lang w:val="sk-SK"/>
              </w:rPr>
            </w:pPr>
            <w:r w:rsidRPr="007F5B6A">
              <w:rPr>
                <w:rFonts w:ascii="Times New Roman" w:hAnsi="Times New Roman"/>
                <w:sz w:val="20"/>
                <w:szCs w:val="20"/>
                <w:lang w:val="sk-SK"/>
              </w:rPr>
              <w:t>-Cez SOT sa nebudú podporovať investície, ktoré sú zviazané s pôdou (napr. betónovanie, stavebné práce, rekonštrukcia a výsadba nových ovocných sadov).</w:t>
            </w:r>
          </w:p>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-SR má nízku organizovanosť pestovateľov do OV, preto by sme výrazne limitovali žiadosti  individuálnych pestovateľov OZ podľa  opatrení PRV.</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100.</w:t>
            </w:r>
          </w:p>
        </w:tc>
        <w:tc>
          <w:tcPr>
            <w:tcW w:w="2963" w:type="pct"/>
            <w:shd w:val="clear" w:color="auto" w:fill="FFFFFF" w:themeFill="background1"/>
          </w:tcPr>
          <w:p w:rsidR="00E91F7C" w:rsidRPr="007F5B6A" w:rsidRDefault="00E91F7C"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B. Investments to physical assets focusing on effectiveness improvement of water in agriculture</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Investments in off-farm water infrastructure whose use is available to all farmers in a given area should be supported through sub-measure 4.3. Please clarify if the extension of irrigated areas is foreseen.</w:t>
            </w:r>
          </w:p>
        </w:tc>
        <w:tc>
          <w:tcPr>
            <w:tcW w:w="296" w:type="pct"/>
            <w:shd w:val="clear" w:color="auto" w:fill="FFFFFF" w:themeFill="background1"/>
            <w:vAlign w:val="center"/>
          </w:tcPr>
          <w:p w:rsidR="00E91F7C" w:rsidRPr="007F5B6A" w:rsidRDefault="00881A9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DB503B">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Rozšírenie zavlažovaných oblastí v porovnaní so súčasným stavom  sa nepredpokladá vo významnejšom rozsahu.</w:t>
            </w:r>
            <w:r w:rsidRPr="007F5B6A">
              <w:rPr>
                <w:rFonts w:ascii="Times New Roman" w:hAnsi="Times New Roman"/>
                <w:b/>
                <w:sz w:val="20"/>
                <w:szCs w:val="20"/>
                <w:lang w:val="sk-SK"/>
              </w:rPr>
              <w:t xml:space="preserve"> </w:t>
            </w:r>
            <w:r w:rsidRPr="007F5B6A">
              <w:rPr>
                <w:rFonts w:ascii="Times New Roman" w:hAnsi="Times New Roman"/>
                <w:sz w:val="20"/>
                <w:szCs w:val="20"/>
                <w:lang w:val="sk-SK"/>
              </w:rPr>
              <w:t>Investície budú zamerané na modernizáciu závlahových zariadení na doteraz vybudovaných a súčasne existujúcich závlahových plochách s cieľom podporiť len tie plochy, ktoré sa dlhodobo využívajú a sú významné z hľadiska plnenia cieľov koncepcie rozvoja pôdohospodárstva a akčného plánu rozvoja pôdohospodárstva na roky 2014 až 2020</w:t>
            </w:r>
            <w:r w:rsidR="00845ED9" w:rsidRPr="007F5B6A">
              <w:rPr>
                <w:rFonts w:ascii="Times New Roman" w:hAnsi="Times New Roman"/>
                <w:sz w:val="20"/>
                <w:szCs w:val="20"/>
                <w:lang w:val="sk-SK"/>
              </w:rPr>
              <w:t xml:space="preserve"> s tým, že tieto investície sa budú dotýkať FA2 – konkurencie schopnosť poľnohospodárstva</w:t>
            </w:r>
            <w:r w:rsidRPr="007F5B6A">
              <w:rPr>
                <w:rFonts w:ascii="Times New Roman" w:hAnsi="Times New Roman"/>
                <w:sz w:val="20"/>
                <w:szCs w:val="20"/>
                <w:lang w:val="sk-SK"/>
              </w:rPr>
              <w:t>.</w:t>
            </w:r>
          </w:p>
          <w:p w:rsidR="00DB503B" w:rsidRPr="007F5B6A" w:rsidRDefault="00DB503B" w:rsidP="00DB503B">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Investície do závlah budú podporované v rámci podopatrenia 4.1 a 4.3. Zlepšenie využívania závlah bude z podopatrenia 4.1 podporované </w:t>
            </w:r>
            <w:r w:rsidR="00FB0C69" w:rsidRPr="007F5B6A">
              <w:rPr>
                <w:rFonts w:ascii="Times New Roman" w:hAnsi="Times New Roman"/>
                <w:sz w:val="20"/>
                <w:szCs w:val="20"/>
                <w:lang w:val="sk-SK"/>
              </w:rPr>
              <w:t xml:space="preserve"> stavebnými a technologickými investíciami do závlahových systémov vrátane infraštruktúry s cieľom zvýšenia produkcie alebo jej kvality. Podopatrenie 4.3 bude zamerané na vodohospodárske opatrenia</w:t>
            </w:r>
            <w:r w:rsidR="00881A93" w:rsidRPr="007F5B6A">
              <w:rPr>
                <w:rFonts w:ascii="Times New Roman" w:hAnsi="Times New Roman"/>
                <w:sz w:val="20"/>
                <w:szCs w:val="20"/>
                <w:lang w:val="sk-SK"/>
              </w:rPr>
              <w:t xml:space="preserve"> (spoločné zariadenie) </w:t>
            </w:r>
            <w:r w:rsidR="00FB0C69" w:rsidRPr="007F5B6A">
              <w:rPr>
                <w:rFonts w:ascii="Times New Roman" w:hAnsi="Times New Roman"/>
                <w:sz w:val="20"/>
                <w:szCs w:val="20"/>
                <w:lang w:val="sk-SK"/>
              </w:rPr>
              <w:t>, ktoré zabezpečujú krajinu pred prívalovými vodami a podmáčaním a zabezpečujú zdroj vody na krytie vlahového deficitu (nádrže, poldre, odvodnenia a závlahy).</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101.</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list of principles for setting up selection criteria seems very long and broad. The MA should consider giving preference to projects which will improve existing irrigation facilities and achieve a particularly high potential water saving. The connection of those investments with measures 10 and 11 should be explained.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FB0C69">
            <w:pPr>
              <w:spacing w:after="0" w:line="240" w:lineRule="auto"/>
              <w:rPr>
                <w:rFonts w:ascii="Times New Roman" w:hAnsi="Times New Roman"/>
                <w:sz w:val="20"/>
                <w:szCs w:val="20"/>
                <w:lang w:val="sk-SK"/>
              </w:rPr>
            </w:pPr>
            <w:r w:rsidRPr="007F5B6A">
              <w:rPr>
                <w:rFonts w:ascii="Times New Roman" w:hAnsi="Times New Roman"/>
                <w:sz w:val="20"/>
                <w:szCs w:val="20"/>
                <w:lang w:val="sk-SK"/>
              </w:rPr>
              <w:t>- Koncepcia predpokladá, že uprednostňované budú investície do existujúcich vybudovaných závlahových sústav, ktoré sú v súčasnosti intenzívne využívané, resp. tvoria potenciál pre budúce využitie vo vzťahu k zvyšovaniu produkcie , zlepšeniu kvalitatívnych vlastností pôdy ,a ktoré budú zaručovať komplexnosť , udržateľnosť, efektívnosť a hospodárnosť predmetnej investície.</w:t>
            </w:r>
          </w:p>
          <w:p w:rsidR="00E91F7C" w:rsidRPr="007F5B6A" w:rsidRDefault="00E91F7C" w:rsidP="00FB0C69">
            <w:pPr>
              <w:spacing w:after="0" w:line="240" w:lineRule="auto"/>
              <w:rPr>
                <w:rFonts w:ascii="Times New Roman" w:hAnsi="Times New Roman"/>
                <w:sz w:val="20"/>
                <w:szCs w:val="20"/>
                <w:lang w:val="sk-SK"/>
              </w:rPr>
            </w:pPr>
            <w:r w:rsidRPr="007F5B6A">
              <w:rPr>
                <w:rFonts w:ascii="Times New Roman" w:hAnsi="Times New Roman"/>
                <w:sz w:val="20"/>
                <w:szCs w:val="20"/>
                <w:lang w:val="sk-SK"/>
              </w:rPr>
              <w:t>-Existujúce závlahové systémy majú v súčasnosti platné vodoprávne povolenia, vyriešené vodné zdroje pre závlahy/technicky a vodoprávne/, majú vyriešené energetické pripojenia, ako aj rozvody vody v zavlažiteľnom území.  - - V rámci rekonštrukcie dôjde hlavne k znižovaniu energetickej náročnosti , ako aj k úsporám vody hlavne strát v rozvodných potrubných systémoch  a inštaláciou moderných závlahových strojov a detailov s precíznym dávkovaním vody.</w:t>
            </w:r>
          </w:p>
          <w:p w:rsidR="00E91F7C" w:rsidRPr="007F5B6A" w:rsidRDefault="00E91F7C" w:rsidP="00FB0C69">
            <w:pPr>
              <w:spacing w:after="0" w:line="240" w:lineRule="auto"/>
              <w:rPr>
                <w:rFonts w:ascii="Times New Roman" w:hAnsi="Times New Roman"/>
                <w:sz w:val="20"/>
                <w:szCs w:val="20"/>
                <w:lang w:val="sk-SK"/>
              </w:rPr>
            </w:pPr>
            <w:r w:rsidRPr="007F5B6A">
              <w:rPr>
                <w:rFonts w:ascii="Times New Roman" w:hAnsi="Times New Roman"/>
                <w:sz w:val="20"/>
                <w:szCs w:val="20"/>
                <w:lang w:val="sk-SK"/>
              </w:rPr>
              <w:t>- Prepojenie s opatrením č. 10 a 11 môže byť vecne len v tom, že subjekt, ktorý investíciu realizuje, bude ňou zavlažovať ovocie, zeleninu, vinohrad, alebo plodiny pestované v ekologickom poľnohospodárstve. Iné prepojenie medzi týmito opatreniami nie je, sú samostatné.</w:t>
            </w:r>
          </w:p>
          <w:p w:rsidR="00FB0C69" w:rsidRPr="007F5B6A" w:rsidRDefault="00FB0C69" w:rsidP="00FB0C69">
            <w:pPr>
              <w:spacing w:after="0" w:line="240" w:lineRule="auto"/>
              <w:rPr>
                <w:rFonts w:ascii="Times New Roman" w:hAnsi="Times New Roman"/>
                <w:b/>
                <w:sz w:val="20"/>
                <w:szCs w:val="20"/>
                <w:lang w:val="sk-SK"/>
              </w:rPr>
            </w:pPr>
            <w:r w:rsidRPr="007F5B6A">
              <w:rPr>
                <w:rFonts w:ascii="Times New Roman" w:hAnsi="Times New Roman"/>
                <w:sz w:val="20"/>
                <w:szCs w:val="20"/>
                <w:lang w:val="sk-SK"/>
              </w:rPr>
              <w:t>Uprednostnené budú projekty vedúce k zvýšeniu úspory vody.</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102.</w:t>
            </w:r>
          </w:p>
        </w:tc>
        <w:tc>
          <w:tcPr>
            <w:tcW w:w="2963" w:type="pct"/>
            <w:shd w:val="clear" w:color="auto" w:fill="FFFFFF" w:themeFill="background1"/>
          </w:tcPr>
          <w:p w:rsidR="00E91F7C" w:rsidRPr="007F5B6A" w:rsidRDefault="00E91F7C"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 xml:space="preserve">C. Investments in physical assets focusing on processing and use of renewable energy sources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considered if operation Type 2 should not go under sub-measure D, or even consider merging sub-measures C and 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Operácia Typu 2 bola presunutá do podopatrenia 6.4</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103.</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confirm that the conditions in terms of energy efficiency and biomass/bioenergy as laid down in Art. 13 of Reg. (EU) 807/2014 will be respected.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Podmienky z hľadiska energetickej účinnosti podľa čl. 13 Nariadenia EÚ č. 807/2014.</w:t>
            </w:r>
            <w:r w:rsidR="00A568FC" w:rsidRPr="007F5B6A">
              <w:rPr>
                <w:rFonts w:ascii="Times New Roman" w:hAnsi="Times New Roman"/>
                <w:sz w:val="20"/>
                <w:szCs w:val="20"/>
                <w:lang w:val="sk-SK"/>
              </w:rPr>
              <w:t xml:space="preserve"> </w:t>
            </w:r>
            <w:r w:rsidRPr="007F5B6A">
              <w:rPr>
                <w:rFonts w:ascii="Times New Roman" w:hAnsi="Times New Roman"/>
                <w:sz w:val="20"/>
                <w:szCs w:val="20"/>
                <w:lang w:val="sk-SK"/>
              </w:rPr>
              <w:t>Podľa týchto podmienok je treba vyžadovať súlad s minimálnymi normami energetickej účinnosti pre podporované investície do infraštruktúr energie z obnoviteľných zdrojov, ktoré spotrebúvajú alebo vyrábajú energiu, ak na vnútroštátnej úrovni takéto normy existujú.</w:t>
            </w:r>
          </w:p>
          <w:p w:rsidR="00E91F7C" w:rsidRPr="007F5B6A" w:rsidRDefault="00E91F7C" w:rsidP="00E91F7C">
            <w:pPr>
              <w:widowControl/>
              <w:adjustRightInd/>
              <w:spacing w:after="0" w:line="240" w:lineRule="auto"/>
              <w:rPr>
                <w:rFonts w:ascii="Times New Roman" w:hAnsi="Times New Roman"/>
                <w:sz w:val="20"/>
                <w:szCs w:val="20"/>
                <w:lang w:val="sk-SK"/>
              </w:rPr>
            </w:pPr>
            <w:r w:rsidRPr="007F5B6A">
              <w:rPr>
                <w:rFonts w:ascii="Times New Roman" w:hAnsi="Times New Roman"/>
                <w:sz w:val="20"/>
                <w:szCs w:val="20"/>
                <w:lang w:val="sk-SK"/>
              </w:rPr>
              <w:t>V SR zariadenia na výrobu elektrickej energie a tepla, ich budovanie a prevádzka musia byť v súlade s legislatívou SR v oblasti energetickej účinnosti:</w:t>
            </w:r>
          </w:p>
          <w:p w:rsidR="00FB0C69" w:rsidRPr="007F5B6A" w:rsidRDefault="00E91F7C" w:rsidP="00FB0C69">
            <w:pPr>
              <w:widowControl/>
              <w:numPr>
                <w:ilvl w:val="0"/>
                <w:numId w:val="15"/>
              </w:numPr>
              <w:spacing w:after="0" w:line="240" w:lineRule="auto"/>
              <w:ind w:left="175" w:hanging="141"/>
              <w:rPr>
                <w:rFonts w:ascii="Times New Roman" w:hAnsi="Times New Roman"/>
                <w:sz w:val="20"/>
                <w:szCs w:val="20"/>
                <w:lang w:val="sk-SK"/>
              </w:rPr>
            </w:pPr>
            <w:r w:rsidRPr="007F5B6A">
              <w:rPr>
                <w:rFonts w:ascii="Times New Roman" w:hAnsi="Times New Roman"/>
                <w:sz w:val="20"/>
                <w:szCs w:val="20"/>
                <w:lang w:val="sk-SK"/>
              </w:rPr>
              <w:t xml:space="preserve">zákon č. 476/2008 Z. z. o efektívnosti pri používaní energie (zákon o energetickej efektívnosti) a o zmene a doplnení zákona č. 555/2005 Z. z. o energetickej hospodárnosti budov a o zmene a doplnení niektorých zákonov v znení zákona č. 17/2007 Z. z. v znení neskorších predpisov; </w:t>
            </w:r>
          </w:p>
          <w:p w:rsidR="00FB0C69" w:rsidRPr="007F5B6A" w:rsidRDefault="00FB0C69" w:rsidP="00FB0C69">
            <w:pPr>
              <w:widowControl/>
              <w:numPr>
                <w:ilvl w:val="0"/>
                <w:numId w:val="15"/>
              </w:numPr>
              <w:spacing w:after="0" w:line="240" w:lineRule="auto"/>
              <w:ind w:left="175" w:hanging="141"/>
              <w:rPr>
                <w:rFonts w:ascii="Times New Roman" w:hAnsi="Times New Roman"/>
                <w:sz w:val="20"/>
                <w:szCs w:val="20"/>
                <w:lang w:val="sk-SK"/>
              </w:rPr>
            </w:pPr>
            <w:r w:rsidRPr="007F5B6A">
              <w:rPr>
                <w:rFonts w:ascii="Times New Roman" w:hAnsi="Times New Roman"/>
                <w:sz w:val="20"/>
                <w:szCs w:val="20"/>
                <w:lang w:val="sk-SK"/>
              </w:rPr>
              <w:t>zákon č. 309/2009 Z.z. o podpore obnoviteľných zdrojov energie a vysoko účinnej kombinovanej výroby;</w:t>
            </w:r>
          </w:p>
          <w:p w:rsidR="00E91F7C" w:rsidRPr="007F5B6A" w:rsidRDefault="00E91F7C" w:rsidP="00FB0C69">
            <w:pPr>
              <w:widowControl/>
              <w:numPr>
                <w:ilvl w:val="0"/>
                <w:numId w:val="15"/>
              </w:numPr>
              <w:spacing w:after="0" w:line="240" w:lineRule="auto"/>
              <w:ind w:left="175" w:hanging="141"/>
              <w:rPr>
                <w:rFonts w:ascii="Times New Roman" w:hAnsi="Times New Roman"/>
                <w:sz w:val="20"/>
                <w:szCs w:val="20"/>
                <w:lang w:val="sk-SK"/>
              </w:rPr>
            </w:pPr>
            <w:r w:rsidRPr="007F5B6A">
              <w:rPr>
                <w:rFonts w:ascii="Times New Roman" w:hAnsi="Times New Roman"/>
                <w:sz w:val="20"/>
                <w:szCs w:val="20"/>
                <w:lang w:val="sk-SK"/>
              </w:rPr>
              <w:t>Akčný plán energetickej efektívnosti na roky 2014 – 2016.</w:t>
            </w:r>
          </w:p>
          <w:p w:rsidR="00FB0C69" w:rsidRPr="007F5B6A" w:rsidRDefault="00FB0C69" w:rsidP="00E91F7C">
            <w:pPr>
              <w:widowControl/>
              <w:spacing w:after="0" w:line="240" w:lineRule="auto"/>
              <w:rPr>
                <w:rFonts w:ascii="Times New Roman" w:hAnsi="Times New Roman"/>
                <w:b/>
                <w:sz w:val="20"/>
                <w:szCs w:val="20"/>
                <w:lang w:val="sk-SK"/>
              </w:rPr>
            </w:pP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104.</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also take into account the different state aid regimes applicable. For cases where energy is sold to the grid and not used on-farm, the operations should be financed under M6.4 and general state aid rules would be applicable.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B021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Využívanie OZE, ktorých výsledkom je uvádzanie energie do siete, boli presunuté pod opatrenie 6.4.</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105.</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define the fast-growing species to be supported under this operation including the harvest cycle in accordance with. Article 4(1)(k) of Reg. (EU) No 1307/2013. </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845ED9">
            <w:pPr>
              <w:widowControl/>
              <w:adjustRightInd/>
              <w:spacing w:after="0" w:line="240" w:lineRule="auto"/>
              <w:rPr>
                <w:rFonts w:ascii="Times New Roman" w:hAnsi="Times New Roman"/>
                <w:b/>
                <w:sz w:val="20"/>
                <w:szCs w:val="20"/>
                <w:lang w:val="sk-SK"/>
              </w:rPr>
            </w:pPr>
            <w:r w:rsidRPr="007F5B6A">
              <w:rPr>
                <w:rFonts w:ascii="Times New Roman" w:hAnsi="Times New Roman"/>
                <w:sz w:val="20"/>
                <w:szCs w:val="20"/>
                <w:lang w:val="sk-SK"/>
              </w:rPr>
              <w:t>Zoznam rýchlorastúcich drevín b</w:t>
            </w:r>
            <w:r w:rsidR="00845ED9" w:rsidRPr="007F5B6A">
              <w:rPr>
                <w:rFonts w:ascii="Times New Roman" w:hAnsi="Times New Roman"/>
                <w:sz w:val="20"/>
                <w:szCs w:val="20"/>
                <w:lang w:val="sk-SK"/>
              </w:rPr>
              <w:t>ol</w:t>
            </w:r>
            <w:r w:rsidRPr="007F5B6A">
              <w:rPr>
                <w:rFonts w:ascii="Times New Roman" w:hAnsi="Times New Roman"/>
                <w:sz w:val="20"/>
                <w:szCs w:val="20"/>
                <w:lang w:val="sk-SK"/>
              </w:rPr>
              <w:t xml:space="preserve"> vypracovaný</w:t>
            </w:r>
            <w:r w:rsidR="0065370E" w:rsidRPr="007F5B6A">
              <w:rPr>
                <w:rFonts w:ascii="Times New Roman" w:hAnsi="Times New Roman"/>
                <w:sz w:val="20"/>
                <w:szCs w:val="20"/>
                <w:lang w:val="sk-SK"/>
              </w:rPr>
              <w:t xml:space="preserve"> a tvorí prílohu PRV SR 2014-2020</w:t>
            </w:r>
            <w:r w:rsidRPr="007F5B6A">
              <w:rPr>
                <w:rFonts w:ascii="Times New Roman" w:hAnsi="Times New Roman"/>
                <w:sz w:val="20"/>
                <w:szCs w:val="20"/>
                <w:lang w:val="sk-SK"/>
              </w:rPr>
              <w:t>.</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106.</w:t>
            </w:r>
          </w:p>
        </w:tc>
        <w:tc>
          <w:tcPr>
            <w:tcW w:w="2963" w:type="pct"/>
            <w:shd w:val="clear" w:color="auto" w:fill="FFFFFF" w:themeFill="background1"/>
          </w:tcPr>
          <w:p w:rsidR="00E91F7C" w:rsidRPr="007F5B6A" w:rsidRDefault="00E91F7C" w:rsidP="00E91F7C">
            <w:pPr>
              <w:pStyle w:val="Nadpis2"/>
              <w:spacing w:before="0" w:after="0"/>
              <w:rPr>
                <w:rFonts w:ascii="Times New Roman" w:hAnsi="Times New Roman"/>
                <w:sz w:val="20"/>
              </w:rPr>
            </w:pPr>
            <w:r w:rsidRPr="007F5B6A">
              <w:rPr>
                <w:rFonts w:ascii="Times New Roman" w:hAnsi="Times New Roman"/>
                <w:sz w:val="20"/>
              </w:rPr>
              <w:t xml:space="preserve">Sub-measure 4.2: Support for investments in processing/marketing and/or development of agricultural products </w:t>
            </w:r>
          </w:p>
          <w:p w:rsidR="00E91F7C" w:rsidRPr="007F5B6A" w:rsidRDefault="00E91F7C"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 xml:space="preserve">D. Investments in physical assets contributing to energy savings on consumption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link to the investment in printers, scanners, other electronic equipment, establishment of internet connection etc. should be well justified.</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Investície do tlačiarní, skenerov a iných elektronických zariadení nebudú oprávnené.</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107.</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output can be also non-Annex I product. The restriction to Annex I products should be avoided. </w:t>
            </w:r>
          </w:p>
        </w:tc>
        <w:tc>
          <w:tcPr>
            <w:tcW w:w="296" w:type="pct"/>
            <w:shd w:val="clear" w:color="auto" w:fill="FFFFFF" w:themeFill="background1"/>
            <w:vAlign w:val="center"/>
          </w:tcPr>
          <w:p w:rsidR="00E91F7C" w:rsidRPr="007F5B6A" w:rsidRDefault="001815F4" w:rsidP="001815F4">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1F7C" w:rsidRPr="007F5B6A" w:rsidRDefault="00B0197A"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w:t>
            </w:r>
            <w:r w:rsidR="00E91F7C" w:rsidRPr="007F5B6A">
              <w:rPr>
                <w:rFonts w:ascii="Times New Roman" w:hAnsi="Times New Roman"/>
                <w:sz w:val="20"/>
                <w:szCs w:val="20"/>
                <w:lang w:val="sk-SK"/>
              </w:rPr>
              <w:t>ýstupom môže byť aj výrobok, ktorý sa nenachádza v prílohe 1</w:t>
            </w:r>
          </w:p>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-na spracovanie v rámci prílohy 1 a spracovanie mimo prílohy 1 sme rozdelili, aby sme vedeli, na ktoré projekty je potrebné uplatniť pravidlá štátnej pomoci.</w:t>
            </w:r>
          </w:p>
        </w:tc>
      </w:tr>
      <w:tr w:rsidR="00862CEA"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108.</w:t>
            </w:r>
          </w:p>
        </w:tc>
        <w:tc>
          <w:tcPr>
            <w:tcW w:w="2963" w:type="pct"/>
            <w:shd w:val="clear" w:color="auto" w:fill="FFFFFF" w:themeFill="background1"/>
          </w:tcPr>
          <w:p w:rsidR="00E91F7C" w:rsidRPr="007F5B6A" w:rsidRDefault="00E91F7C"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 xml:space="preserve">E. Investments in processing and/or development of agricultural products </w:t>
            </w:r>
          </w:p>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This operation could be also supported under sub-measure 6.4 for outputs being non-Annex I products (inputs do not matter). Under this condition the sub-measure 4.2 could be dropped. There is only one condition. The outputs should be non-Annex I products (inputs do not matters). </w:t>
            </w:r>
          </w:p>
        </w:tc>
        <w:tc>
          <w:tcPr>
            <w:tcW w:w="296" w:type="pct"/>
            <w:shd w:val="clear" w:color="auto" w:fill="FFFFFF" w:themeFill="background1"/>
            <w:vAlign w:val="center"/>
          </w:tcPr>
          <w:p w:rsidR="00E91F7C" w:rsidRPr="007F5B6A" w:rsidRDefault="00B021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B021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RO si je vedomý možnosti podpory spracovania produktov , ktorých výstupom je produkt mimo Prílohy I ZFEÚ cez podopatrenie 6.4. V podopatrení 4.2 však ide predovšetkým o podporu potravinárskeho sektora a o spracovanie produktov, ktorých  vstup a výstup je súčasťou Prílohy I, avšak v niektorých prípadoch je výstupom spracovania aj produkt, ktorého výstup nie je súčasťou Prílohy I, ale je súčasťou potravinárskeho sektoru. Ak by bola táto časť operácie presunutá do podopatrenia 6.4, takéto rozdelenie by z pohľadu RO viedlo len k zvýšenej administratívnej záťaži a zložitosti podpory. Z týchto dôvodov sa RO rozhodol podporu ponechať v podopatrení 4.2 a v rámci podopatrenia 6.4 bola doplnená možnosť spracovania produktov, ktorých vstupom spracovania je zároveň produkt na Prílohe I, ako aj produkt mimo Prílohy I.  </w:t>
            </w:r>
          </w:p>
        </w:tc>
      </w:tr>
      <w:tr w:rsidR="00E91F7C" w:rsidRPr="007F5B6A" w:rsidTr="00D877AC">
        <w:tc>
          <w:tcPr>
            <w:tcW w:w="235" w:type="pct"/>
            <w:shd w:val="clear" w:color="auto" w:fill="FFFFFF" w:themeFill="background1"/>
          </w:tcPr>
          <w:p w:rsidR="00E91F7C" w:rsidRPr="007F5B6A" w:rsidRDefault="00E91F7C"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109.</w:t>
            </w:r>
          </w:p>
        </w:tc>
        <w:tc>
          <w:tcPr>
            <w:tcW w:w="2963" w:type="pct"/>
            <w:shd w:val="clear" w:color="auto" w:fill="FFFFFF" w:themeFill="background1"/>
          </w:tcPr>
          <w:p w:rsidR="00E91F7C" w:rsidRPr="007F5B6A" w:rsidRDefault="00E91F7C"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measure should be better targeted on the adding value to the domestic agricultural production. In this case, the support should be limited to the SME including farmers or group of farmers, which decided to process and/or market their own production. In case of support of large enterprises, the RDP should include safeguards to prevent cases of deadweight.</w:t>
            </w:r>
          </w:p>
        </w:tc>
        <w:tc>
          <w:tcPr>
            <w:tcW w:w="296" w:type="pct"/>
            <w:shd w:val="clear" w:color="auto" w:fill="FFFFFF" w:themeFill="background1"/>
            <w:vAlign w:val="center"/>
          </w:tcPr>
          <w:p w:rsidR="00E91F7C" w:rsidRPr="007F5B6A" w:rsidRDefault="00E91F7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E91F7C" w:rsidRPr="007F5B6A" w:rsidRDefault="00E91F7C"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Opatrenie je zamerané na pridávanie hodnoty do domácej poľnohospodárskej výroby. Avšak z hľadiska rozloženia a štruktúry spracovateľského priemyslu v SR nie je možné prioritizovať resp. vztiahnuť dané opatrenie len na poľnohospodárov resp. skupiny poľnohospodárov, nakoľko by sa v niektorých spracovateľských odvetviach vytvárala duplicita s existujúcimi spracovateľskými kapacitami, ktoré neprevádzkujú poľnohospodári.  Prioritou však bude zameranie na pridávanie hodnoty do domácej poľnohospodárskej výroby či už priamo pre poľnohospodárov resp. sprostredkovane pre spracovateľov prioritne spracúvajúcich domácu produkciu domácich poľnohospodárov. Zároveň budú doplnené oprávnené aktivity tak, aby viac vyhovovali poľnohospodárom a bude pri výberových kritériách zvýhodňované pridávanie hodnoty do domácej výroby.</w:t>
            </w:r>
          </w:p>
          <w:p w:rsidR="00E91F7C" w:rsidRPr="007F5B6A" w:rsidRDefault="00E91F7C"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Prioritizované budú malé a stredné podniky, zároveň na predchádzanie prípadom mŕtvej váhy bude pre veľké podniky znížená miera intenzity podpory. </w:t>
            </w:r>
          </w:p>
          <w:p w:rsidR="00E91F7C" w:rsidRPr="007F5B6A" w:rsidRDefault="00E91F7C" w:rsidP="0065370E">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Oprávnenými prijímateľmi sú všetky podniky. V rámci pripomienky sa na elimináciu mŕtvej váhy upravuje výška nenávratného finančného príspevku na projekt  na rozdielnu intenzitu pomoci a to na hodnotu 35%</w:t>
            </w:r>
            <w:r w:rsidR="0065370E" w:rsidRPr="007F5B6A">
              <w:rPr>
                <w:rFonts w:ascii="Times New Roman" w:hAnsi="Times New Roman"/>
                <w:sz w:val="20"/>
                <w:szCs w:val="20"/>
                <w:lang w:val="sk-SK"/>
              </w:rPr>
              <w:t xml:space="preserve"> verejných</w:t>
            </w:r>
            <w:r w:rsidRPr="007F5B6A">
              <w:rPr>
                <w:rFonts w:ascii="Times New Roman" w:hAnsi="Times New Roman"/>
                <w:sz w:val="20"/>
                <w:szCs w:val="20"/>
                <w:lang w:val="sk-SK"/>
              </w:rPr>
              <w:t xml:space="preserve"> zdrojov  a 65% súkromných zdrojov. Ďalej sa oprávnenosť získania NFP upravuje o kritérium oprávnenosti, ktorým je podmienka spracovania produktov domácej produkcie</w:t>
            </w:r>
            <w:r w:rsidR="00410B7F" w:rsidRPr="007F5B6A">
              <w:rPr>
                <w:rFonts w:ascii="Times New Roman" w:hAnsi="Times New Roman"/>
                <w:sz w:val="20"/>
                <w:szCs w:val="20"/>
                <w:lang w:val="sk-SK"/>
              </w:rPr>
              <w:t>. Viď text opatrenia a podmienku oprávnenosti.</w:t>
            </w:r>
            <w:r w:rsidRPr="007F5B6A">
              <w:rPr>
                <w:rFonts w:ascii="Times New Roman" w:hAnsi="Times New Roman"/>
                <w:sz w:val="20"/>
                <w:szCs w:val="20"/>
                <w:lang w:val="sk-SK"/>
              </w:rPr>
              <w:t xml:space="preserve">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110.</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4.3: Support for investments in infrastructure related to development, modernization or adaptation of agriculture and forestry  </w:t>
            </w:r>
          </w:p>
          <w:p w:rsidR="008F76AB" w:rsidRPr="007F5B6A" w:rsidRDefault="008F76AB"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F. Working out and realisation of land management projects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description of land consolidation activities and other activities under actions G and H should be better described including lessons learnt from the period 2007-13, and in particular in connection to the data from specific context indicator on low number of supported plans of common facilities. It is not clear what will be the expected results of investments relating to building common facilities. Specific output indicators for the actions planned should be proposed. It should be clarified why the beneficiary is only the Ministry of Agriculture and Rural Development. The simplified costs option should be also considered. </w:t>
            </w:r>
          </w:p>
        </w:tc>
        <w:tc>
          <w:tcPr>
            <w:tcW w:w="296" w:type="pct"/>
            <w:shd w:val="clear" w:color="auto" w:fill="FFFFFF" w:themeFill="background1"/>
            <w:vAlign w:val="center"/>
          </w:tcPr>
          <w:p w:rsidR="008F76AB"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8F76AB" w:rsidRPr="007F5B6A" w:rsidRDefault="008F76AB" w:rsidP="0065370E">
            <w:pPr>
              <w:spacing w:after="0" w:line="240" w:lineRule="auto"/>
              <w:rPr>
                <w:rFonts w:ascii="Times New Roman" w:hAnsi="Times New Roman"/>
                <w:b/>
                <w:sz w:val="20"/>
                <w:szCs w:val="20"/>
                <w:lang w:val="sk-SK"/>
              </w:rPr>
            </w:pPr>
            <w:r w:rsidRPr="007F5B6A">
              <w:rPr>
                <w:rFonts w:ascii="Times New Roman" w:hAnsi="Times New Roman"/>
                <w:sz w:val="20"/>
                <w:szCs w:val="20"/>
                <w:lang w:val="sk-SK"/>
              </w:rPr>
              <w:t>Text</w:t>
            </w:r>
            <w:r w:rsidR="00410B7F" w:rsidRPr="007F5B6A">
              <w:rPr>
                <w:rFonts w:ascii="Times New Roman" w:hAnsi="Times New Roman"/>
                <w:sz w:val="20"/>
                <w:szCs w:val="20"/>
                <w:lang w:val="sk-SK"/>
              </w:rPr>
              <w:t>y</w:t>
            </w:r>
            <w:r w:rsidRPr="007F5B6A">
              <w:rPr>
                <w:rFonts w:ascii="Times New Roman" w:hAnsi="Times New Roman"/>
                <w:sz w:val="20"/>
                <w:szCs w:val="20"/>
                <w:lang w:val="sk-SK"/>
              </w:rPr>
              <w:t xml:space="preserve"> </w:t>
            </w:r>
            <w:r w:rsidR="00410B7F" w:rsidRPr="007F5B6A">
              <w:rPr>
                <w:rFonts w:ascii="Times New Roman" w:hAnsi="Times New Roman"/>
                <w:sz w:val="20"/>
                <w:szCs w:val="20"/>
                <w:lang w:val="sk-SK"/>
              </w:rPr>
              <w:t xml:space="preserve">podopatrení </w:t>
            </w:r>
            <w:r w:rsidRPr="007F5B6A">
              <w:rPr>
                <w:rFonts w:ascii="Times New Roman" w:hAnsi="Times New Roman"/>
                <w:sz w:val="20"/>
                <w:szCs w:val="20"/>
                <w:lang w:val="sk-SK"/>
              </w:rPr>
              <w:t>bol</w:t>
            </w:r>
            <w:r w:rsidR="00410B7F" w:rsidRPr="007F5B6A">
              <w:rPr>
                <w:rFonts w:ascii="Times New Roman" w:hAnsi="Times New Roman"/>
                <w:sz w:val="20"/>
                <w:szCs w:val="20"/>
                <w:lang w:val="sk-SK"/>
              </w:rPr>
              <w:t xml:space="preserve">i upravené, zároveň bola pridaná podmienka oprávnenosti vykonávania </w:t>
            </w:r>
            <w:r w:rsidR="0065370E" w:rsidRPr="007F5B6A">
              <w:rPr>
                <w:rFonts w:ascii="Times New Roman" w:hAnsi="Times New Roman"/>
                <w:sz w:val="20"/>
                <w:szCs w:val="20"/>
                <w:lang w:val="sk-SK"/>
              </w:rPr>
              <w:t>ďalších</w:t>
            </w:r>
            <w:r w:rsidR="00410B7F" w:rsidRPr="007F5B6A">
              <w:rPr>
                <w:rFonts w:ascii="Times New Roman" w:hAnsi="Times New Roman"/>
                <w:sz w:val="20"/>
                <w:szCs w:val="20"/>
                <w:lang w:val="sk-SK"/>
              </w:rPr>
              <w:t xml:space="preserve"> projektov pozemkových úprav podmienením dobudovania spoločných zariadení naprojektovaných z PRV SR 2007-2013.</w:t>
            </w:r>
            <w:r w:rsidRPr="007F5B6A">
              <w:rPr>
                <w:rFonts w:ascii="Times New Roman" w:hAnsi="Times New Roman"/>
                <w:sz w:val="20"/>
                <w:szCs w:val="20"/>
                <w:lang w:val="sk-SK"/>
              </w:rPr>
              <w:t xml:space="preserve"> </w:t>
            </w:r>
          </w:p>
        </w:tc>
      </w:tr>
      <w:tr w:rsidR="008F76AB" w:rsidRPr="007F5B6A" w:rsidTr="00756B74">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Among principles for selection criteria please consider the inclusion of building up green infrastructure and territorial system of ecological stability, and inclusion of natural water retention measures.</w:t>
            </w:r>
          </w:p>
        </w:tc>
        <w:tc>
          <w:tcPr>
            <w:tcW w:w="296" w:type="pct"/>
            <w:shd w:val="clear" w:color="auto" w:fill="FFFFFF" w:themeFill="background1"/>
            <w:vAlign w:val="center"/>
          </w:tcPr>
          <w:p w:rsidR="008F76AB"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756B74" w:rsidRPr="007F5B6A" w:rsidRDefault="00756B74" w:rsidP="00756B74">
            <w:pPr>
              <w:spacing w:line="240" w:lineRule="auto"/>
              <w:rPr>
                <w:rFonts w:ascii="Times New Roman" w:hAnsi="Times New Roman"/>
                <w:sz w:val="20"/>
                <w:szCs w:val="20"/>
              </w:rPr>
            </w:pPr>
            <w:r w:rsidRPr="007F5B6A">
              <w:rPr>
                <w:rFonts w:ascii="Times New Roman" w:hAnsi="Times New Roman"/>
                <w:sz w:val="20"/>
                <w:szCs w:val="20"/>
                <w:lang w:val="sk-SK"/>
              </w:rPr>
              <w:t>V rámci hodnotenia budú uprednostnené projekty so zaradením prvkov zelenej infraštruktúry. A rovnako budú uplatnené priority podľa materiálu „Návrh priorít pre PRV SR 2014-2020 pre pozemkové úpravy, napr. stupeň ekologickej stability územia, záber pôdy pre celospoločenský a obecný význam, neprístupnosť pozemkov, ohrozenosť územia, rómske osady atď.</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scope of this operation should be further detailed with specific outputs/results indicators, and also taking into account lessons learnt in supporting access to forest land. The inclusion of these actions under the FA 2C should be better justified by their contribution to economic development. The principles for prioritizing the actions should be indicated.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118A9" w:rsidRPr="007F5B6A" w:rsidRDefault="006118A9" w:rsidP="0024284B">
            <w:pPr>
              <w:tabs>
                <w:tab w:val="left" w:pos="383"/>
              </w:tabs>
              <w:spacing w:after="120" w:line="240" w:lineRule="auto"/>
              <w:rPr>
                <w:rFonts w:ascii="Times New Roman" w:hAnsi="Times New Roman"/>
                <w:sz w:val="20"/>
                <w:szCs w:val="20"/>
                <w:lang w:val="sk-SK"/>
              </w:rPr>
            </w:pPr>
            <w:r w:rsidRPr="007F5B6A">
              <w:rPr>
                <w:rFonts w:ascii="Times New Roman" w:hAnsi="Times New Roman"/>
                <w:sz w:val="20"/>
                <w:szCs w:val="20"/>
                <w:lang w:val="sk-SK"/>
              </w:rPr>
              <w:t xml:space="preserve">Text v opise operácie bol upravený tak, aby zahŕňal presný opis výstupov, ktoré budú prostredníctvom operácie podporené, aktuálnu situáciu a potreby v prístupe k lesnej pôde na základe doterajších skúseností, ako aj príspevok operácie k FO 2C+. </w:t>
            </w:r>
          </w:p>
          <w:p w:rsidR="008F76AB" w:rsidRPr="007F5B6A" w:rsidRDefault="006118A9" w:rsidP="006118A9">
            <w:pPr>
              <w:spacing w:after="0" w:line="240" w:lineRule="auto"/>
              <w:rPr>
                <w:rFonts w:ascii="Times New Roman" w:hAnsi="Times New Roman"/>
                <w:b/>
                <w:sz w:val="20"/>
                <w:szCs w:val="20"/>
                <w:lang w:val="sk-SK"/>
              </w:rPr>
            </w:pPr>
            <w:r w:rsidRPr="007F5B6A">
              <w:rPr>
                <w:rFonts w:ascii="Times New Roman" w:hAnsi="Times New Roman"/>
                <w:sz w:val="20"/>
                <w:szCs w:val="20"/>
                <w:lang w:val="sk-SK"/>
              </w:rPr>
              <w:t>Taktiež boli doplnené činnosti, ktoré budú podporované prioritne, a to v rámci popisu opatrenia ako aj časti Princípy nastavenia výberových kritérií.</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better indicate the scope of operations (for example the type of forest roads, density to be reached and at what scale) and the eligible amount for support under this sub-measure.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118A9" w:rsidRPr="007F5B6A" w:rsidRDefault="006118A9" w:rsidP="00A50845">
            <w:pPr>
              <w:widowControl/>
              <w:shd w:val="clear" w:color="auto" w:fill="FFFFFF" w:themeFill="background1"/>
              <w:tabs>
                <w:tab w:val="left" w:pos="383"/>
              </w:tabs>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Do opisu operácie bol pridaný presný popis jednotlivých kategórií lesných ciest. </w:t>
            </w:r>
          </w:p>
          <w:p w:rsidR="00630B9E" w:rsidRPr="007F5B6A" w:rsidRDefault="006118A9" w:rsidP="00A50845">
            <w:pPr>
              <w:widowControl/>
              <w:shd w:val="clear" w:color="auto" w:fill="FFFFFF" w:themeFill="background1"/>
              <w:tabs>
                <w:tab w:val="left" w:pos="383"/>
              </w:tabs>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Do podmienok oprávnenosti bol pridaný nasledovný text: </w:t>
            </w:r>
          </w:p>
          <w:p w:rsidR="00586441" w:rsidRPr="007F5B6A" w:rsidRDefault="00586441" w:rsidP="00756B74">
            <w:pPr>
              <w:widowControl/>
              <w:numPr>
                <w:ilvl w:val="0"/>
                <w:numId w:val="19"/>
              </w:numPr>
              <w:shd w:val="clear" w:color="auto" w:fill="FFFFFF" w:themeFill="background1"/>
              <w:tabs>
                <w:tab w:val="left" w:pos="317"/>
              </w:tabs>
              <w:spacing w:after="0" w:line="240" w:lineRule="auto"/>
              <w:ind w:left="317" w:hanging="283"/>
              <w:rPr>
                <w:rFonts w:ascii="Times New Roman" w:hAnsi="Times New Roman"/>
                <w:i/>
                <w:sz w:val="20"/>
                <w:szCs w:val="20"/>
                <w:lang w:val="sk-SK"/>
              </w:rPr>
            </w:pPr>
            <w:r w:rsidRPr="007F5B6A">
              <w:rPr>
                <w:rFonts w:ascii="Times New Roman" w:hAnsi="Times New Roman"/>
                <w:i/>
                <w:sz w:val="20"/>
                <w:szCs w:val="20"/>
                <w:lang w:val="sk-SK"/>
              </w:rPr>
              <w:t>oprávneným žiadateľom je obhospodarovateľ lesa, ktorý obhospodaruje les s minimálnou výmerou 10 ha;</w:t>
            </w:r>
          </w:p>
          <w:p w:rsidR="00D877AC" w:rsidRPr="007F5B6A" w:rsidRDefault="00D877AC" w:rsidP="00756B74">
            <w:pPr>
              <w:widowControl/>
              <w:numPr>
                <w:ilvl w:val="0"/>
                <w:numId w:val="19"/>
              </w:numPr>
              <w:adjustRightInd/>
              <w:spacing w:before="100" w:beforeAutospacing="1" w:after="100" w:afterAutospacing="1" w:line="240" w:lineRule="auto"/>
              <w:ind w:left="317" w:hanging="283"/>
              <w:rPr>
                <w:rFonts w:ascii="Times New Roman" w:hAnsi="Times New Roman"/>
                <w:i/>
                <w:sz w:val="20"/>
                <w:szCs w:val="20"/>
                <w:lang w:val="sk-SK"/>
              </w:rPr>
            </w:pPr>
            <w:r w:rsidRPr="007F5B6A">
              <w:rPr>
                <w:rFonts w:ascii="Times New Roman" w:hAnsi="Times New Roman"/>
                <w:i/>
                <w:sz w:val="20"/>
                <w:szCs w:val="20"/>
                <w:lang w:val="sk-SK"/>
              </w:rPr>
              <w:t xml:space="preserve">Výstavba nových lesných ciest ako aj rekonštrukcia existujúcich lesných ciest kategórie 1L, 2L a 3L bude oprávnená len na územiach, na ktorých sa budovaním ako aj rekonštrukciou lesných ciest nedosiahne ich hustota  vyššia ako je optimálna (t.j. v hospodárskych lesoch hustota 20 - 25 m.ha-1 lesných ciest kategórie 1L a 2L, v ochranných lesoch 7–14 m.ha-1 lesných ciest kategórie 1L a 2L) </w:t>
            </w:r>
            <w:r w:rsidRPr="007F5B6A">
              <w:rPr>
                <w:rFonts w:ascii="Times New Roman" w:hAnsi="Times New Roman"/>
                <w:i/>
                <w:sz w:val="20"/>
                <w:szCs w:val="20"/>
                <w:u w:val="single"/>
                <w:lang w:val="sk-SK"/>
              </w:rPr>
              <w:t>na jeden lesný celok alebo na jedného obhospodarovateľa lesa;</w:t>
            </w:r>
          </w:p>
          <w:p w:rsidR="00630B9E" w:rsidRPr="007F5B6A" w:rsidRDefault="00630B9E" w:rsidP="00756B74">
            <w:pPr>
              <w:widowControl/>
              <w:numPr>
                <w:ilvl w:val="0"/>
                <w:numId w:val="19"/>
              </w:numPr>
              <w:shd w:val="clear" w:color="auto" w:fill="FFFFFF" w:themeFill="background1"/>
              <w:tabs>
                <w:tab w:val="left" w:pos="317"/>
              </w:tabs>
              <w:spacing w:after="0" w:line="240" w:lineRule="auto"/>
              <w:ind w:left="317" w:hanging="283"/>
              <w:rPr>
                <w:rFonts w:ascii="Times New Roman" w:hAnsi="Times New Roman"/>
                <w:i/>
                <w:sz w:val="20"/>
                <w:szCs w:val="20"/>
                <w:lang w:val="sk-SK"/>
              </w:rPr>
            </w:pPr>
            <w:r w:rsidRPr="007F5B6A">
              <w:rPr>
                <w:rFonts w:ascii="Times New Roman" w:hAnsi="Times New Roman"/>
                <w:i/>
                <w:sz w:val="20"/>
                <w:szCs w:val="20"/>
                <w:lang w:val="sk-SK"/>
              </w:rPr>
              <w:t>Dodržanie všeobecných podmienok oprávnenosti uvedených v kapitole 8.1.3.</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114.</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Sub-measure 4.4:  Support for non-productive investments linked to the achievement of agri-environment-climate objectives</w:t>
            </w:r>
          </w:p>
          <w:p w:rsidR="008F76AB" w:rsidRPr="007F5B6A" w:rsidRDefault="008F76AB"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I. Non-productive investment for reduction of GHG emissions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is requested to clarify the precise nature, scope and objectives of the investments proposed under this sub-measure. There would appear to be some duplication with operations which can be funded under sub-measure 4.1, and Slovakia is invited to make a clear distinction between productive and non-productive investments.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568F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Podopatrenie 4.4 </w:t>
            </w:r>
            <w:r w:rsidR="00A568FC" w:rsidRPr="007F5B6A">
              <w:rPr>
                <w:rFonts w:ascii="Times New Roman" w:hAnsi="Times New Roman"/>
                <w:sz w:val="20"/>
                <w:szCs w:val="20"/>
                <w:lang w:val="sk-SK"/>
              </w:rPr>
              <w:t xml:space="preserve">bolo </w:t>
            </w:r>
            <w:r w:rsidRPr="007F5B6A">
              <w:rPr>
                <w:rFonts w:ascii="Times New Roman" w:hAnsi="Times New Roman"/>
                <w:sz w:val="20"/>
                <w:szCs w:val="20"/>
                <w:lang w:val="sk-SK"/>
              </w:rPr>
              <w:t>presunuté pod podopatrenie 4.1 operácia A</w:t>
            </w:r>
            <w:r w:rsidR="0024284B"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115.</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5: Restoring agricultural production potential damaged by natural disasters and catastrophic events and introduction of appropriate prevention measures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Need 12 to which the measure refers is not in direct relation with the main actions envisaged of revitalizing old abandoned drainage infrastructure. This need could be rather addressed by better forest management and appropriate farming practices of soil and water management and by green infrastructure where appropriate. The actions under this measure should be linked with the farming practices, water management and water retention measures in forests. Otherwise, the reconstruction of this infrastructure could be not effective in case of floods. The link between the actions under this measure and support for irrigation under measure 4 should also be identified.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Zmena identifikovaných potrieb. Na opatrenie 5 sa vzťahuje potreba 6.</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secondary contribution of this measure to the indicated FAs and to the cross-cutting objectives should be described and justified.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 doplnený text prínosu opatrenia 5 k FO a prierezovým cieľom.</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mitigating actions appropriate for the risks of error signaled in the RDP should be identified.</w:t>
            </w:r>
          </w:p>
        </w:tc>
        <w:tc>
          <w:tcPr>
            <w:tcW w:w="296" w:type="pct"/>
            <w:shd w:val="clear" w:color="auto" w:fill="FFFFFF" w:themeFill="background1"/>
            <w:vAlign w:val="center"/>
          </w:tcPr>
          <w:p w:rsidR="008F76AB" w:rsidRPr="007F5B6A" w:rsidRDefault="00A568F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Opatrenia na zmiernenie rizika implementácie sú stanovené ako povinnosť postupovať v zmysle zákona 25/2006 Z.z o verejnom obstarávaní. Overiteľnosť a kontrolovateľnosť investícií je zabezpečená systémom administratívnych kontrol a kontrol na mieste v zmysle legislatívy upravujúcej kontroly investičných opatrení.</w:t>
            </w:r>
          </w:p>
          <w:p w:rsidR="008F76AB" w:rsidRPr="007F5B6A" w:rsidRDefault="008F76AB"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V rámci opatrenia 5 (čl.18) nie je potrebné meniť vybrané operácie/akcie. Navrhnutá operácia v rámci opatrenia umožní spoľahlivo a efektívne dosiahnuť očakávané výsledky a PPA.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analyses the complementarities and synergies between the actions proposed and the priority Axis 3 of the OP Quality of Environment financed by ERDF/CF, which also supports operations for increasing flood protection.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24284B">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Prioritná os 3 OP KŽP je zameraná na  zvýšenie úrovne pripravenosti na zvládanie mimoriadnych udalostí</w:t>
            </w:r>
            <w:r w:rsidR="0024284B" w:rsidRPr="007F5B6A">
              <w:rPr>
                <w:rFonts w:ascii="Times New Roman" w:hAnsi="Times New Roman"/>
                <w:sz w:val="20"/>
                <w:szCs w:val="20"/>
                <w:lang w:val="sk-SK"/>
              </w:rPr>
              <w:t xml:space="preserve"> </w:t>
            </w:r>
            <w:r w:rsidRPr="007F5B6A">
              <w:rPr>
                <w:rFonts w:ascii="Times New Roman" w:hAnsi="Times New Roman"/>
                <w:sz w:val="20"/>
                <w:szCs w:val="20"/>
                <w:lang w:val="sk-SK"/>
              </w:rPr>
              <w:t>ovplyvnených zmenou klímy, zvýšiť účinnosť preventívnych a adaptačných opatrení na</w:t>
            </w:r>
            <w:r w:rsidR="0024284B" w:rsidRPr="007F5B6A">
              <w:rPr>
                <w:rFonts w:ascii="Times New Roman" w:hAnsi="Times New Roman"/>
                <w:sz w:val="20"/>
                <w:szCs w:val="20"/>
                <w:lang w:val="sk-SK"/>
              </w:rPr>
              <w:t xml:space="preserve"> </w:t>
            </w:r>
            <w:r w:rsidRPr="007F5B6A">
              <w:rPr>
                <w:rFonts w:ascii="Times New Roman" w:hAnsi="Times New Roman"/>
                <w:sz w:val="20"/>
                <w:szCs w:val="20"/>
                <w:lang w:val="sk-SK"/>
              </w:rPr>
              <w:t>elimináciu environmentálnych rizík (okrem protipovodňových), Znížiť riziko zosuvov pôdy, Zlepšenie preskúmanosti územia z hľadiska identifikácie oblastí deficitných</w:t>
            </w:r>
            <w:r w:rsidR="0024284B" w:rsidRPr="007F5B6A">
              <w:rPr>
                <w:rFonts w:ascii="Times New Roman" w:hAnsi="Times New Roman"/>
                <w:sz w:val="20"/>
                <w:szCs w:val="20"/>
                <w:lang w:val="sk-SK"/>
              </w:rPr>
              <w:t xml:space="preserve"> </w:t>
            </w:r>
            <w:r w:rsidRPr="007F5B6A">
              <w:rPr>
                <w:rFonts w:ascii="Times New Roman" w:hAnsi="Times New Roman"/>
                <w:sz w:val="20"/>
                <w:szCs w:val="20"/>
                <w:lang w:val="sk-SK"/>
              </w:rPr>
              <w:t>na zdroje pitnej vody, Zvýšiť efektívnosť komplexného riešenia rizikových udalostí</w:t>
            </w:r>
            <w:r w:rsidR="0024284B" w:rsidRPr="007F5B6A">
              <w:rPr>
                <w:rFonts w:ascii="Times New Roman" w:hAnsi="Times New Roman"/>
                <w:sz w:val="20"/>
                <w:szCs w:val="20"/>
                <w:lang w:val="sk-SK"/>
              </w:rPr>
              <w:t xml:space="preserve"> </w:t>
            </w:r>
            <w:r w:rsidRPr="007F5B6A">
              <w:rPr>
                <w:rFonts w:ascii="Times New Roman" w:hAnsi="Times New Roman"/>
                <w:sz w:val="20"/>
                <w:szCs w:val="20"/>
                <w:lang w:val="sk-SK"/>
              </w:rPr>
              <w:t>ovplyvnených zmenou klímy</w:t>
            </w:r>
          </w:p>
          <w:p w:rsidR="008F76AB" w:rsidRPr="007F5B6A" w:rsidRDefault="008F76AB" w:rsidP="00740E48">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5 v rámci PRV sa zameriava na rekonštrukciu , modernizáciu, opravu a </w:t>
            </w:r>
            <w:r w:rsidR="00740E48" w:rsidRPr="007F5B6A">
              <w:rPr>
                <w:rFonts w:ascii="Times New Roman" w:hAnsi="Times New Roman"/>
                <w:sz w:val="20"/>
                <w:szCs w:val="20"/>
                <w:lang w:val="sk-SK"/>
              </w:rPr>
              <w:t xml:space="preserve"> </w:t>
            </w:r>
            <w:r w:rsidRPr="007F5B6A">
              <w:rPr>
                <w:rFonts w:ascii="Times New Roman" w:hAnsi="Times New Roman"/>
                <w:sz w:val="20"/>
                <w:szCs w:val="20"/>
                <w:lang w:val="sk-SK"/>
              </w:rPr>
              <w:t>odvodňovacích systémov, kanálov s regulovaným odtokom a čerpacích staníc a ich zariadení</w:t>
            </w:r>
            <w:r w:rsidR="00740E48" w:rsidRPr="007F5B6A">
              <w:rPr>
                <w:rFonts w:ascii="Times New Roman" w:hAnsi="Times New Roman"/>
                <w:sz w:val="20"/>
                <w:szCs w:val="20"/>
                <w:lang w:val="sk-SK"/>
              </w:rPr>
              <w:t xml:space="preserve">  dostavbu vodných stavidiel</w:t>
            </w:r>
            <w:r w:rsidRPr="007F5B6A">
              <w:rPr>
                <w:rFonts w:ascii="Times New Roman" w:hAnsi="Times New Roman"/>
                <w:sz w:val="20"/>
                <w:szCs w:val="20"/>
                <w:lang w:val="sk-SK"/>
              </w:rPr>
              <w:t>, ktoré budú v súlade s relevantnými plánmi manažmentu povodia.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119.</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5.1: Investments in preventive actions aimed at reducing the consequences of probable natural disasters, adverse climatic events and catastrophic events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concept of collective investments is in contradiction with the fact that currently only individual farmers can be beneficiaries of support under the measure.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Prijímateľom podpory bude:</w:t>
            </w:r>
          </w:p>
          <w:p w:rsidR="008F76AB" w:rsidRPr="007F5B6A" w:rsidRDefault="008F76AB" w:rsidP="00975BC8">
            <w:pPr>
              <w:widowControl/>
              <w:numPr>
                <w:ilvl w:val="0"/>
                <w:numId w:val="3"/>
              </w:numPr>
              <w:spacing w:after="0" w:line="240" w:lineRule="auto"/>
              <w:ind w:left="175" w:hanging="141"/>
              <w:rPr>
                <w:rFonts w:ascii="Times New Roman" w:hAnsi="Times New Roman"/>
                <w:b/>
                <w:sz w:val="20"/>
                <w:szCs w:val="20"/>
                <w:lang w:val="sk-SK"/>
              </w:rPr>
            </w:pPr>
            <w:r w:rsidRPr="007F5B6A">
              <w:rPr>
                <w:rFonts w:ascii="Times New Roman" w:hAnsi="Times New Roman"/>
                <w:sz w:val="20"/>
                <w:szCs w:val="20"/>
                <w:lang w:val="sk-SK"/>
              </w:rPr>
              <w:t>verejný subjekt, ak preukáže prepojenie medzi realizovanými investíciami a potenciálom poľnohospodárskej výroby (Hydromeliorácie, š.p.).</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the key potentials risks to be considered for selection criteria purposes. If priority will be given to collective investments this should be mentioned under the chapter "principles for the setting up of selection criteria".</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adjustRightInd/>
              <w:spacing w:after="0" w:line="240" w:lineRule="auto"/>
              <w:rPr>
                <w:rFonts w:ascii="Times New Roman" w:hAnsi="Times New Roman"/>
                <w:b/>
                <w:sz w:val="20"/>
                <w:szCs w:val="20"/>
                <w:lang w:val="sk-SK"/>
              </w:rPr>
            </w:pPr>
            <w:r w:rsidRPr="007F5B6A">
              <w:rPr>
                <w:rFonts w:ascii="Times New Roman" w:hAnsi="Times New Roman"/>
                <w:sz w:val="20"/>
                <w:szCs w:val="20"/>
                <w:lang w:val="sk-SK"/>
              </w:rPr>
              <w:t>Výberové kritériá boli upravené a doplnené a sú uvedené v časti „Princípy nastavenia výberových kritérií“.</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121.</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6: Farm and business development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explain the reasons for including "public procurement procedure and management and control systems" as risks in the ex-ante assessment of verifiability and controllability.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Riziká implementácie a zmierňujúce akcie boli v rámci jednotlivých podopatrení revidované.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122.</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6.1: Business start-up aid for young farmers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flat rate payment up to EUR 40 000 divided in two parts should be justified taking also into account the socio-economic situation of the programme area. Further explanation has to be provided on how support will be attributed or calculated in case of the individual beneficiary.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404FB2">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Výška paušálnej platby bola stanovená na úroveň 50.000,- EUR v dvoch splátkach (</w:t>
            </w:r>
            <w:r w:rsidR="00404FB2" w:rsidRPr="007F5B6A">
              <w:rPr>
                <w:rFonts w:ascii="Times New Roman" w:hAnsi="Times New Roman"/>
                <w:sz w:val="20"/>
                <w:szCs w:val="20"/>
                <w:lang w:val="sk-SK"/>
              </w:rPr>
              <w:t>7</w:t>
            </w:r>
            <w:r w:rsidRPr="007F5B6A">
              <w:rPr>
                <w:rFonts w:ascii="Times New Roman" w:hAnsi="Times New Roman"/>
                <w:sz w:val="20"/>
                <w:szCs w:val="20"/>
                <w:lang w:val="sk-SK"/>
              </w:rPr>
              <w:t>0% prvá splátka a </w:t>
            </w:r>
            <w:r w:rsidR="00404FB2" w:rsidRPr="007F5B6A">
              <w:rPr>
                <w:rFonts w:ascii="Times New Roman" w:hAnsi="Times New Roman"/>
                <w:sz w:val="20"/>
                <w:szCs w:val="20"/>
                <w:lang w:val="sk-SK"/>
              </w:rPr>
              <w:t>3</w:t>
            </w:r>
            <w:r w:rsidRPr="007F5B6A">
              <w:rPr>
                <w:rFonts w:ascii="Times New Roman" w:hAnsi="Times New Roman"/>
                <w:sz w:val="20"/>
                <w:szCs w:val="20"/>
                <w:lang w:val="sk-SK"/>
              </w:rPr>
              <w:t xml:space="preserve">0% druhá splátka) pre jedného mladého poľnohospodára. Stanovenie výšky pomoci zohľadňuje socio-ekonomickú situáciu SR a je opísané v časti – výpočet výšky podpory.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last instalment to be paid to the beneficiary is conditional upon the correct implementation of the business plan (Article 19(5) of Regulation (EU) No 1305/2013). Therefore, it is necessary to revise this chapter. In addition, there should also be a sufficient control mechanism in place to control the correct implementation of the business plan.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B021AB">
            <w:pPr>
              <w:widowControl/>
              <w:spacing w:after="0" w:line="240" w:lineRule="auto"/>
              <w:rPr>
                <w:rFonts w:ascii="Times New Roman" w:hAnsi="Times New Roman"/>
                <w:b/>
                <w:sz w:val="20"/>
                <w:szCs w:val="20"/>
                <w:lang w:val="sk-SK"/>
              </w:rPr>
            </w:pPr>
            <w:r w:rsidRPr="007F5B6A">
              <w:rPr>
                <w:rFonts w:ascii="Times New Roman" w:hAnsi="Times New Roman"/>
                <w:sz w:val="20"/>
                <w:szCs w:val="20"/>
                <w:shd w:val="clear" w:color="auto" w:fill="FFFFFF" w:themeFill="background1"/>
                <w:lang w:val="sk-SK"/>
              </w:rPr>
              <w:t>Upravené v zmysle pripomienky (vyplatenie druhej splátky je podmienené správnou realizáciou podnikateľského plánu</w:t>
            </w:r>
            <w:r w:rsidRPr="007F5B6A">
              <w:rPr>
                <w:rFonts w:ascii="Times New Roman" w:hAnsi="Times New Roman"/>
                <w:sz w:val="20"/>
                <w:szCs w:val="20"/>
                <w:lang w:val="sk-SK"/>
              </w:rPr>
              <w:t>).</w:t>
            </w:r>
            <w:r w:rsidRPr="007F5B6A">
              <w:rPr>
                <w:rFonts w:ascii="Times New Roman" w:hAnsi="Times New Roman"/>
                <w:b/>
                <w:sz w:val="20"/>
                <w:szCs w:val="20"/>
                <w:lang w:val="sk-SK"/>
              </w:rPr>
              <w:t xml:space="preserve"> </w:t>
            </w:r>
            <w:r w:rsidRPr="007F5B6A">
              <w:rPr>
                <w:rFonts w:ascii="Times New Roman" w:hAnsi="Times New Roman"/>
                <w:sz w:val="20"/>
                <w:szCs w:val="20"/>
                <w:lang w:val="sk-SK"/>
              </w:rPr>
              <w:t>Zároveň bol doplnený mechanizmus posudzovania správnej realizácie podnikateľského plánu v časti Overiteľnosť a kontrolovateľnosť opatrenia.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definition of beneficiaries should be revised: Article 2.3 of Commission Delegated Regulation (EU) No 807/2014 clearly states that all elements of the definition of young farmers have to be met at the moment of an application for support (and not on 1 January 2014 as proposed). Slovakia should also review the definition of self-employed farmer and the definition of young farmers in accordance with Article 2(n) of Regulation (EU) 1305/2013. The reference "to undertaking founded no more than 5 years preceding the application" is not appropriate. The term "setting up as a head of the holding" by taking into account the conditions set out in Regulation (EU) No 1305/2013 and Reg. (EU) No 807/2014 should be defined.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Upravené v zmysle pripomienky (splnenie všetkých povinností ku dňu podania ŽoNFP, časť „alebo podnik založil najviac 5 rokov pred podaním ŽoNFP“ bola odstránená, SHR je jediným a teda aj najvyšším predstaviteľom daného podniku).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the thresholds for allowing agricultural holdings to have access to support using Standard Output or equivalent (Article 5.2 of Reg. (EU) No 807/2014). Moreover, those thresholds should be set per programming area and not per applicant.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Limity pre povolenie prístupu k podpore boli stanovené prostredníctvom štandardného výstupu</w:t>
            </w:r>
            <w:r w:rsidR="00404FB2" w:rsidRPr="007F5B6A">
              <w:rPr>
                <w:rFonts w:ascii="Times New Roman" w:hAnsi="Times New Roman"/>
                <w:sz w:val="20"/>
                <w:szCs w:val="20"/>
                <w:lang w:val="sk-SK"/>
              </w:rPr>
              <w:t>, kde dolná hranica predstavuje 10 000 EUR a horná hranica 50 000 EUR</w:t>
            </w:r>
            <w:r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definition of integrated project cannot be based only on combining support from different measures. In such case the value-added of implementing the operations together instead of in a separate way has to be justified.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740E48">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Definícia integrovaného projektu bola </w:t>
            </w:r>
            <w:r w:rsidR="00740E48" w:rsidRPr="007F5B6A">
              <w:rPr>
                <w:rFonts w:ascii="Times New Roman" w:hAnsi="Times New Roman"/>
                <w:sz w:val="20"/>
                <w:szCs w:val="20"/>
                <w:lang w:val="sk-SK"/>
              </w:rPr>
              <w:t>revidovaná.</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127.</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6.3: Business start-up aid for development of small farms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noted that the support under this measure is provided to existing farms for the purpose of their economic development, and is not destined for the creation of new small farms. There is no direct link between the amount of support and the business plan's expenditure items (please correct the description). In addition, the start-up aid has a non-investments character, i.e. it is not directly linked to the provisions of Article 45 of Reg. (EU) No 1305/2013, which means that the eligible costs' section is to be left empty (eligible conditions should not be inserted there).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Upravené v zmysle pripomienky („založenie“ bolo nahradené „rozvojom“, bol odstránený text v časti oprávnených nákladov).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threshold levels for access to this measure as required by Article 19(4) should be indicated. Zero threshold as proposed is impossible. In addition, the use of "% of turnover" as an equivalent to "Standard output" is not justified and can hardly be accepted as the equivalent one. This part of the sub-measure needs a thorough revision of compliance with the legal provisions.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Upravené v zmysle pripomienky. Boli stanovené hodnoty štandardného výstupu</w:t>
            </w:r>
            <w:r w:rsidR="00404FB2" w:rsidRPr="007F5B6A">
              <w:rPr>
                <w:rFonts w:ascii="Times New Roman" w:hAnsi="Times New Roman"/>
                <w:sz w:val="20"/>
                <w:szCs w:val="20"/>
                <w:lang w:val="sk-SK"/>
              </w:rPr>
              <w:t>, kde dolná hranica bola stanovená na úrovni 4 000 EUR a horná hranica na 9 999 EUR</w:t>
            </w:r>
            <w:r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129.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 growth element has to be considered under this sub-measure (e.g. increase of size, in turnover, etc.) in order to ensure that support is in fact granted for development purposes. It should be clarified if the turnover requirement is valid for one year back or more. It should also be clarified what "investments in long-term intangible assets" means.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bolo revidované v zmysle pripomienky.  Rastový prvok preukáže dosiahnutím potenciálu štandardného výstupu.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130.</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6.4: Support for investments in creation and development of non-agricultural activities </w:t>
            </w:r>
          </w:p>
          <w:p w:rsidR="008F76AB" w:rsidRPr="007F5B6A" w:rsidRDefault="008F76AB" w:rsidP="00E91F7C">
            <w:pPr>
              <w:spacing w:after="0" w:line="240" w:lineRule="auto"/>
              <w:rPr>
                <w:rFonts w:ascii="Times New Roman" w:hAnsi="Times New Roman"/>
                <w:b/>
                <w:sz w:val="20"/>
                <w:szCs w:val="20"/>
                <w:lang w:val="en-GB"/>
              </w:rPr>
            </w:pPr>
            <w:r w:rsidRPr="007F5B6A">
              <w:rPr>
                <w:rFonts w:ascii="Times New Roman" w:hAnsi="Times New Roman"/>
                <w:b/>
                <w:sz w:val="20"/>
                <w:szCs w:val="20"/>
                <w:lang w:val="en-GB"/>
              </w:rPr>
              <w:t xml:space="preserve">C. Support for investments in creation and development of non-agricultural activities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why the support for new accommodation premises is excluded.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 podopatrenia 6.4 bola pridaná aj výstavba nových ubytovacích zariadení.</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references to complementarities and synergies inside RDP and with other OPs should be moved to the general part of the measure and links to legislation should be indicated here.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Informácie o komplementarite a synergii boli presunuté a doplnené do všeobecnej časti opatrenia.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describe and justify the management costs of projects as part of general costs (which should be limited as % of total eligible expenditure) and their application for concrete activities. The scope of costs for public procurement should be also clarified.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404FB2">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Definícia oprávnených nákladov bola upravená.</w:t>
            </w:r>
            <w:r w:rsidR="00404FB2" w:rsidRPr="007F5B6A">
              <w:rPr>
                <w:rFonts w:ascii="Times New Roman" w:hAnsi="Times New Roman"/>
                <w:sz w:val="20"/>
                <w:szCs w:val="20"/>
                <w:lang w:val="sk-SK"/>
              </w:rPr>
              <w:t xml:space="preserve"> Všeobecné náklady na projekt boli stanovené na úroveň max. 15% z výšky projektu.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Under condition No 6, the input and output is limited to non-Annex I product. It should be noted that under Article 19, the processing of all types of input (Annex I or non-Annex I) is eligible as long as the output from the supported activity is a non-Annex I product. It should be indicated for how many years back in time the annual turnover under condition 1 should be checked.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bolo revidované spôsobom, ktorý stanovuje, že vstupom spracovania môže byť aj produkt uvedený v prílohe I k ZFEÚ, kde vstupom je zároveň aj produkt mimo Prílohy I ZFEÚ. Ročné tržby/ príjmy boli stanovené na predchádzajúci rok pred rokom podania ŽoNFP.</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Projects supporting renewable energy production have to comply with the energy efficiency requirements laid down in Article 13 of Reg. (EU) No 807/2014.</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404FB2">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Do  podmienok oprávnenosti bola doplnená podmienka, ktorá stanovuje povinnosť súladu </w:t>
            </w:r>
            <w:r w:rsidR="00404FB2" w:rsidRPr="007F5B6A">
              <w:rPr>
                <w:rFonts w:ascii="Times New Roman" w:hAnsi="Times New Roman"/>
                <w:sz w:val="20"/>
                <w:szCs w:val="20"/>
                <w:lang w:val="sk-SK"/>
              </w:rPr>
              <w:t>investície so zákonom č. 309/2009 Z.z. o podpore obnoviteľných zdrojov energie a vysokoúčinnej kombinovanej výroby</w:t>
            </w:r>
            <w:r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is a scope for improving the section on mitigating actions to avoid error risks. The current list of 4 bullets among which is the selection of beneficiaries, efficiency of eligible costs (not clear concept), management and control system are too basic, and a linkage with the mitigating actions cannot be seen.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4221F1">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Riziká implementácie a zmierňujúce akcie boli revidované</w:t>
            </w:r>
            <w:r w:rsidRPr="007F5B6A">
              <w:rPr>
                <w:rFonts w:ascii="Times New Roman" w:hAnsi="Times New Roman"/>
                <w:b/>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clarify what is to be supported under activity 3 besides renewable energy sources. Please better define also what kinds of cable cars are foreseen to be supported.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 rámci činnosti 3 je možné podporiť napr. remeselnú výrobu, spracovanie produktov, ktorých výstup je mimo prílohy I ZFEÚ a pod.</w:t>
            </w:r>
            <w:r w:rsidR="00404FB2" w:rsidRPr="007F5B6A">
              <w:rPr>
                <w:rFonts w:ascii="Times New Roman" w:hAnsi="Times New Roman"/>
                <w:sz w:val="20"/>
                <w:szCs w:val="20"/>
                <w:lang w:val="sk-SK"/>
              </w:rPr>
              <w:t xml:space="preserve"> V prípade lanových dráh ide o spájanie vysokých stromov lanami, ktoré vytvárajú lanové a lezecké mosty na účely voľno-časových aktivít.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137.</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7: Basic services and village renewal in rural areas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measure addresses a very large scope of actions (renewable energy plus energy savings, small local infrastructure, broadband, local services including related infrastructure and local tourism). Slovakia should consider further targeting in key actions.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D54402">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Operácia pre OZE v rámci podopatrenia 7.2 je odstránená,  investície/náklady do OZE sú umožnené ako súčasť investícií v rámci podopatrenia 7.4.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statistical data proposed should allow targeting of actions in the main needs. The data used are rather basic and more appropriate for the SWOT analysis step.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vo všeobecnom opise bol skrátený, sú uvedené len údaje, ktoré sú pre charakter opatrenia najdôležitejšie.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139.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planned output and the principles for priority criteria for local roads should be further described in the Programme, taking into account the restrictions and limited funding for local roads foreseen in the PA.</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Vo všeobecnom opise opatrenia + v časti „podmienky oprávnenosti“  boli doplnené podmienky pre oprávnenosť investícií do miestnych komunikácií v súlade s Partnerskou dohodou.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include an ex-ante assessment of verifiability and controllability of the measure per sub-measure. The potential risks and their mitigating actions should be mentioned, especially based on the experience drawn from the previous period.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A6344D">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V texte sú doplnené riziká, ako aj opatrenia na ich zmiernenie. Sú uvedené na úrovni opatrenia, pretože sa týkajú všetkých podopatrení a ich uvádzanie pod každým podopatrením bolo nerelevantné a duplicitné.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141.</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7.2: Support for investments in small scale infrastructure, including renewable energy infrastructure and energy savings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Operational costs are not eligible under this measure. Eligible costs should be based on Article 45 of Reg. (EU) No 1305/2013 and Article 13 of Reg. (EU) No 807/2014. In addition, the incorporation of green infrastructure into investment should be prioritized.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6344D">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Text v časti „oprávnené výdavky“ je upravený  a zároveň odkazuje na podkapitolu 8.1.3, kde sú oprávnené náklady špecifikované.</w:t>
            </w:r>
          </w:p>
          <w:p w:rsidR="008F76AB" w:rsidRPr="007F5B6A" w:rsidRDefault="008F76AB" w:rsidP="00A6344D">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Prvky zelenej infraštruktúry sú takisto doplnené v rámci oprávnených výdavkov, ako aj spomenuté v rámci príspevku k prierezovým cieľom. Zároveň je uvedená prioritizácia v rámci princípov pre výber projektov.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Additional criteria reflecting the SWOT analysis and needs of the rural areas should be added.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 princípov pre výber projektov bol doplnený aspekt ekonomického rozvoja, ako aj zelenej infraštruktúry, do kritérií spôsobilosti podmienka pre podporu miestnych komunikácií.</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consider introducing for activity B the same type of eligible costs as for activity D as regards landscape features.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Doplnené medzi oprávnené náklady – prvky zelenej infraštruktúry.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144.</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B. Investment in the creation, improvement or expansion of all types of small scale infrastructure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be indicated what mandatory application of social aspect at public procurement means.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6344D">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Doplnené v časti “Iné dôležité poznámky významné na pochopenie a vykonávanie opatrenia</w:t>
            </w:r>
            <w:r w:rsidRPr="007F5B6A">
              <w:rPr>
                <w:rFonts w:ascii="Times New Roman" w:hAnsi="Times New Roman"/>
                <w:i/>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selection criteria should reflect the priority given in the PA to small infrastructure projects relating to development of economic activities in rural areas.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Podmienka je upravená v rámci princípov pre výber projektov nasledovne:</w:t>
            </w:r>
          </w:p>
          <w:p w:rsidR="008F76AB" w:rsidRPr="007F5B6A" w:rsidRDefault="008F76AB" w:rsidP="00A6344D">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w:t>
            </w:r>
            <w:r w:rsidRPr="007F5B6A">
              <w:rPr>
                <w:rFonts w:ascii="Times New Roman" w:hAnsi="Times New Roman"/>
                <w:i/>
                <w:sz w:val="20"/>
                <w:szCs w:val="20"/>
                <w:lang w:val="sk-SK"/>
              </w:rPr>
              <w:t>uprednostnené budú projekty súvisiace s ekonomickým rozvojom a/alebo projekty, ktoré kombinujú viacero akcií vytvárajúcich konkrétne podmienky pre ekonomický rozvoj vidieckych obcí (t.z. napr. že podporené investície budú mať pozitívny vplyv na zamestnanosť, rozvoj podnikania a pod.) za predpokladu súladu ekonomického rozvoja s ochranou životného prostredia a racionálneho využitia prírodných zdrojov</w:t>
            </w:r>
            <w:r w:rsidRPr="007F5B6A">
              <w:rPr>
                <w:rFonts w:ascii="Times New Roman" w:hAnsi="Times New Roman"/>
                <w:sz w:val="20"/>
                <w:szCs w:val="20"/>
                <w:lang w:val="sk-SK"/>
              </w:rPr>
              <w:t>;“</w:t>
            </w:r>
            <w:r w:rsidR="0024284B"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146.</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7.3:  Broadband infrastructure including its creation, improvement and expansion, passive broadband infrastructure and provision of access to broadband and public e-govern solution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selection criteria should be in line with the priorities and conditions set out in the National Strategy for Broadband.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6344D">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Podmienka súladu so stratégiou je uvedená, do opatrenia boli doplnené ďalšie podmienky a informácie, vyplývajúce zo systému vzájomnej koordinácie medzi OP II a PRV.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MA should present clear strategy/plan of covering white spots/last miles connections in rural areas of the Slovak Republic, including system for project management (selection, implementation etc.) in order to show what will be achieved through the RDP at the end of programming period in ICT /Broadband infrastructure.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F1545">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 opatrenia boli doplnené ďalšie podmienky a informácie, vyplývajúce zo systému vzájomnej koordinácie medzi OP II a PRV. Systém vzájomnej koordinácie zároveň tvorí prílohu k PRV.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148.</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Sub-measure 7.5: Support for investments for public use in recreational infrastructure, tourist information and small scale tourism infrastructure</w:t>
            </w:r>
          </w:p>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E. Development and marketing of rural tourism</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Eligible costs should be better specified. Operational costs are not eligible under this measure. Tourism promotion and other information and communication, activities are only eligible if applied in the rural areas and not in urban or peri-urban areas. "Marketing and management of rural tourism services and promotion of the various forms" do not constitute investments, therefore they cannot be eligible.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B70205">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Oprávnené náklady boli upravené, rovnako boli upravené činnosti tak, aby spĺňali požiadavky oprávnenosti uvedené v nariadení a vo fiche k opatreniu.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149.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Even if selection criteria reflect the SWOT analysis, some aspects will need to be clarified, especially as regards the focus on economic development and unemployment rate.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rámci princípov pre výber projektov bolo doplnené nasledovné:</w:t>
            </w:r>
          </w:p>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w:t>
            </w:r>
            <w:r w:rsidRPr="007F5B6A">
              <w:rPr>
                <w:rFonts w:ascii="Times New Roman" w:hAnsi="Times New Roman"/>
                <w:i/>
                <w:sz w:val="20"/>
                <w:szCs w:val="20"/>
                <w:lang w:val="sk-SK"/>
              </w:rPr>
              <w:t>uprednostnené budú projekty súvisiace s ekonomickým rozvojom a/alebo projekty, ktoré kombinujú viacero akcií vytvárajúcich konkrétne podmienky pre ekonomický rozvoj vidieckych obcí (</w:t>
            </w:r>
            <w:r w:rsidR="0024284B" w:rsidRPr="007F5B6A">
              <w:rPr>
                <w:rFonts w:ascii="Times New Roman" w:hAnsi="Times New Roman"/>
                <w:i/>
                <w:sz w:val="20"/>
                <w:szCs w:val="20"/>
                <w:lang w:val="sk-SK"/>
              </w:rPr>
              <w:t>t.z</w:t>
            </w:r>
            <w:r w:rsidRPr="007F5B6A">
              <w:rPr>
                <w:rFonts w:ascii="Times New Roman" w:hAnsi="Times New Roman"/>
                <w:i/>
                <w:sz w:val="20"/>
                <w:szCs w:val="20"/>
                <w:lang w:val="sk-SK"/>
              </w:rPr>
              <w:t>. napr. že podporené investície budú mať pozitívny vplyv na zamestnanosť, rozvoj podnikania a pod.) za predpokladu súladu ekonomického rozvoja s ochranou životného prostredia a racionálneho využitia prírodných zdrojov</w:t>
            </w:r>
            <w:r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150.</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Measure 8: Investments in forest areas development and improvement of the viability of forests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measure offers several types of operations which could be grouped under sub-measure 8.3 (prevention actions) and under sub-.measure 8.4 (restoration actions). The information on the verifiability and controllability of the measure should be provided including the potential risks and mitigation actions. The eligible costs should be detailed taking into account Article 45 of the Rural Development Regulation and the guidance measure fiche. The simplified costs options should be also considered.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Operácie boli združené, ex-ante posúdenie overiteľnosti a kontrolovateľnosti, ako aj definícia oprávnených výdavkov boli revidované.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 reference to the implementation of the EU Forest Strategy, International forestry commitments (e.g. FOREST EUROPE, LBA) and to the national forest strategy should be provided and the contribution to the 3 cross-cutting objectives should be indicated. The synergies between at least articles 14, 15, 34 and 35 should be described.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Všeobecný opis opatrenia bol revidovaný, príspevky k jednotlivým dokumentom boli doplnené, rovnako ako synergie s uvedenými článkami.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threshold applicable for requirement of forest management plans or equivalent instrument should be indicated.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Obhospodarovanie lesov akejkoľvek výmery je v zmysle vnútroštátnej legislatívy SR možné len v súlade s plánmi lesného hospodárstva /programov starostlivosti o les/, je preto irelevantné v súvislosti s poskytovaním údajov z plánov  lesného hospodárstva určovať limity na ich predloženie.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further detail in the RDP as regards the eligible amount of support and support rate under each sub-measure, and the possible use of standard costs for example for different categories of forest roads and for creation and maintenance of firebreaks including the support rate established by type of investments or actions.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8F76AB" w:rsidRPr="007F5B6A" w:rsidRDefault="008F76AB" w:rsidP="00F32F97">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Výška a miera podpory boli presne stanovené pre každé podopatrenie.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 some cases the consistency between the eligibility conditions and the selection criteria with the SWOT and strategy is not evident.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Podmienky oprávnenosti a princípy výberových kritérií boli revidované.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155.</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Sub-measures 8.3: Support for prevention of damage to forests from forest fires and natural disasters and catastrophic events and 8.4 support for restoration of damage to forests from forest fires and natural disasters and catastrophic events </w:t>
            </w:r>
          </w:p>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A. Support for preventive anti-flood and anti-fire measures with the purpose to improve water management in forests and B support for prevention of damage to forests from forest fires and natural disasters and catastrophic events</w:t>
            </w:r>
          </w:p>
          <w:p w:rsidR="008F76AB" w:rsidRPr="007F5B6A" w:rsidRDefault="008F76AB" w:rsidP="0024284B">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consider merging the type of operations A and B which seem to overlap. The allocation proposed could be insufficient for addressing the need to increase water retention capacity and to deploy anti-flood measures identified in the SWOT analysis.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Operácie boli zlúčené.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experience of implementation of measure 226 under the RDP 2007 – 2013 shows that the national provisions regarding the forest prevention plan, forest fire prevention plan and classification of forest area according to forest fire risk zones, as well as to natural disasters, biotic and abiotic threats and the involvement of public body/authority justifying the need for prevention against particular threats should be substantially reviewed. The final conclusions and findings of the CoA report regarding measure 226 for restoring forestry potential and introducing prevention actions should be considered and learnings applied in this measure including the carry-over projects (Section 19 of the RDP).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4323A2" w:rsidRPr="007F5B6A" w:rsidRDefault="00404FB2" w:rsidP="004323A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Slovensko vzalo do úvahy výsledky a priebeh implementácie opatrenia 226 PRV SR 2007-2013. </w:t>
            </w:r>
            <w:r w:rsidR="008F76AB" w:rsidRPr="007F5B6A">
              <w:rPr>
                <w:rFonts w:ascii="Times New Roman" w:hAnsi="Times New Roman"/>
                <w:sz w:val="20"/>
                <w:szCs w:val="20"/>
                <w:lang w:val="sk-SK"/>
              </w:rPr>
              <w:t xml:space="preserve">Klasifikácia lesných oblastí podľa stupňa ohrozenia požiarom je </w:t>
            </w:r>
            <w:r w:rsidR="004323A2" w:rsidRPr="007F5B6A">
              <w:rPr>
                <w:rFonts w:ascii="Times New Roman" w:hAnsi="Times New Roman"/>
                <w:sz w:val="20"/>
                <w:szCs w:val="20"/>
                <w:lang w:val="sk-SK"/>
              </w:rPr>
              <w:t>pre účely nového programového obdobia prepracovaná a zohľadňuje aktuálnu situáciu lesných oblastí, ako aj existenciu zrealizovaných protipožiarnych aktivít prostredníctvom PRV SR 2007-2013.</w:t>
            </w:r>
            <w:r w:rsidR="008F76AB" w:rsidRPr="007F5B6A">
              <w:rPr>
                <w:rFonts w:ascii="Times New Roman" w:hAnsi="Times New Roman"/>
                <w:sz w:val="20"/>
                <w:szCs w:val="20"/>
                <w:lang w:val="sk-SK"/>
              </w:rPr>
              <w:t xml:space="preserve"> </w:t>
            </w:r>
          </w:p>
          <w:p w:rsidR="008F76AB" w:rsidRPr="007F5B6A" w:rsidRDefault="008F76AB" w:rsidP="004323A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Skutočnosti uvádzané v ŽoNFP </w:t>
            </w:r>
            <w:r w:rsidR="004323A2" w:rsidRPr="007F5B6A">
              <w:rPr>
                <w:rFonts w:ascii="Times New Roman" w:hAnsi="Times New Roman"/>
                <w:sz w:val="20"/>
                <w:szCs w:val="20"/>
                <w:lang w:val="sk-SK"/>
              </w:rPr>
              <w:t>pre</w:t>
            </w:r>
            <w:r w:rsidRPr="007F5B6A">
              <w:rPr>
                <w:rFonts w:ascii="Times New Roman" w:hAnsi="Times New Roman"/>
                <w:sz w:val="20"/>
                <w:szCs w:val="20"/>
                <w:lang w:val="sk-SK"/>
              </w:rPr>
              <w:t xml:space="preserve"> PRV SR 2014-2020 v súvislosti s realizáciou aktivít lesníckych podopatrení </w:t>
            </w:r>
            <w:r w:rsidR="004323A2" w:rsidRPr="007F5B6A">
              <w:rPr>
                <w:rFonts w:ascii="Times New Roman" w:hAnsi="Times New Roman"/>
                <w:sz w:val="20"/>
                <w:szCs w:val="20"/>
                <w:lang w:val="sk-SK"/>
              </w:rPr>
              <w:t xml:space="preserve">budú </w:t>
            </w:r>
            <w:r w:rsidRPr="007F5B6A">
              <w:rPr>
                <w:rFonts w:ascii="Times New Roman" w:hAnsi="Times New Roman"/>
                <w:sz w:val="20"/>
                <w:szCs w:val="20"/>
                <w:lang w:val="sk-SK"/>
              </w:rPr>
              <w:t>verifik</w:t>
            </w:r>
            <w:r w:rsidR="004323A2" w:rsidRPr="007F5B6A">
              <w:rPr>
                <w:rFonts w:ascii="Times New Roman" w:hAnsi="Times New Roman"/>
                <w:sz w:val="20"/>
                <w:szCs w:val="20"/>
                <w:lang w:val="sk-SK"/>
              </w:rPr>
              <w:t>ovať</w:t>
            </w:r>
            <w:r w:rsidRPr="007F5B6A">
              <w:rPr>
                <w:rFonts w:ascii="Times New Roman" w:hAnsi="Times New Roman"/>
                <w:sz w:val="20"/>
                <w:szCs w:val="20"/>
                <w:lang w:val="sk-SK"/>
              </w:rPr>
              <w:t xml:space="preserve"> miest</w:t>
            </w:r>
            <w:r w:rsidR="004323A2" w:rsidRPr="007F5B6A">
              <w:rPr>
                <w:rFonts w:ascii="Times New Roman" w:hAnsi="Times New Roman"/>
                <w:sz w:val="20"/>
                <w:szCs w:val="20"/>
                <w:lang w:val="sk-SK"/>
              </w:rPr>
              <w:t>n</w:t>
            </w:r>
            <w:r w:rsidRPr="007F5B6A">
              <w:rPr>
                <w:rFonts w:ascii="Times New Roman" w:hAnsi="Times New Roman"/>
                <w:sz w:val="20"/>
                <w:szCs w:val="20"/>
                <w:lang w:val="sk-SK"/>
              </w:rPr>
              <w:t xml:space="preserve">e príslušné okresné úrady ako orgány štátnej správy lesného hospodárstva a životného prostredia. V prípade preventívnych opatrení týkajúcich sa škodcov a chorôb </w:t>
            </w:r>
            <w:r w:rsidR="004323A2" w:rsidRPr="007F5B6A">
              <w:rPr>
                <w:rFonts w:ascii="Times New Roman" w:hAnsi="Times New Roman"/>
                <w:sz w:val="20"/>
                <w:szCs w:val="20"/>
                <w:lang w:val="sk-SK"/>
              </w:rPr>
              <w:t>je</w:t>
            </w:r>
            <w:r w:rsidRPr="007F5B6A">
              <w:rPr>
                <w:rFonts w:ascii="Times New Roman" w:hAnsi="Times New Roman"/>
                <w:sz w:val="20"/>
                <w:szCs w:val="20"/>
                <w:lang w:val="sk-SK"/>
              </w:rPr>
              <w:t xml:space="preserve"> riziko výskytu príslušnej katastrofy podporené vedeckými dôkazmi a uznané Národným lesníckym centrom. </w:t>
            </w:r>
          </w:p>
          <w:p w:rsidR="004323A2" w:rsidRPr="007F5B6A" w:rsidRDefault="004323A2" w:rsidP="004323A2">
            <w:pPr>
              <w:widowControl/>
              <w:spacing w:after="120" w:line="240" w:lineRule="auto"/>
              <w:rPr>
                <w:rFonts w:ascii="Times New Roman" w:hAnsi="Times New Roman"/>
                <w:b/>
                <w:sz w:val="20"/>
                <w:szCs w:val="20"/>
                <w:lang w:val="sk-SK"/>
              </w:rPr>
            </w:pPr>
            <w:r w:rsidRPr="007F5B6A">
              <w:rPr>
                <w:rFonts w:ascii="Times New Roman" w:hAnsi="Times New Roman"/>
                <w:sz w:val="20"/>
                <w:szCs w:val="20"/>
                <w:lang w:val="sk-SK"/>
              </w:rPr>
              <w:t>Zároveň Slovensko disponuje vypracovaným Národným programom starostlivosti o lesy, ktorý je súčasťou príloh k PRV SR 2014-2020 a ktorý opisuje aktuálny stav lesného hospodárstva na Slovensku a potrebu realizácie jednotlivých preventívnych, obnovných a ochranných aktivít.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clarify the priority given to actions linked with activities under sub-measure 8.4. The priority should rather focus on areas affected by other anti-flood measures (on agricultural land, in municipalities) in line with flood risk management plans.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Priorizovanie lesných oblastí v súlade s plánmi povodňového rizika bolo po revidovaní princípov výberových kritérií odstránené.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158.</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Type of operation: C. Support for restoration of forestry potential with the objective to restore, maintain, and increase biological diversity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criteria for the species used in case of restoration actions such as replantation of damaged forests should be indicated. Slovakia should consider whether natural regeneration of spruce forests is more effective than artificial restoration in the zones with the high degree of protection.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Drevinové zloženie obnovovaných lesov je predpísané v programoch starostlivosti o lesy a vychádza z modelov hospodárenia vypracovaných Národným lesníckym centrom vo Zvolene ako národnou lesníckou  vedeckou autoritou a zohľadňuje i výsledky typologického prieskumu. Všetky činnosti v rámci danej operácie musia byť v súlade s programom starostlivosti o les.</w:t>
            </w:r>
          </w:p>
          <w:p w:rsidR="008F76AB" w:rsidRPr="007F5B6A" w:rsidRDefault="008F76AB" w:rsidP="003025A6">
            <w:pPr>
              <w:widowControl/>
              <w:shd w:val="clear" w:color="auto" w:fill="FFFFFF" w:themeFill="background1"/>
              <w:spacing w:after="0" w:line="240" w:lineRule="auto"/>
              <w:rPr>
                <w:rFonts w:ascii="Times New Roman" w:hAnsi="Times New Roman"/>
                <w:sz w:val="20"/>
                <w:szCs w:val="20"/>
                <w:lang w:val="sk-SK"/>
              </w:rPr>
            </w:pPr>
            <w:r w:rsidRPr="007F5B6A">
              <w:rPr>
                <w:rFonts w:ascii="Times New Roman" w:hAnsi="Times New Roman"/>
                <w:sz w:val="20"/>
                <w:szCs w:val="20"/>
                <w:lang w:val="sk-SK"/>
              </w:rPr>
              <w:t>Oblastí s vysokým stupňom ochrany sú spravované v bez zásahovom režime, čiže sa nebudú umelo obnovovať. Ich obhospodarovanie sa riadi ustanoveniami zákona 543/2002 Z. z. o ochrane prírody a krajiny.</w:t>
            </w:r>
          </w:p>
          <w:p w:rsidR="008F76AB" w:rsidRPr="007F5B6A" w:rsidRDefault="008F76AB" w:rsidP="003025A6">
            <w:pPr>
              <w:widowControl/>
              <w:shd w:val="clear" w:color="auto" w:fill="FFFFFF" w:themeFill="background1"/>
              <w:spacing w:after="0" w:line="240" w:lineRule="auto"/>
              <w:rPr>
                <w:rFonts w:ascii="Times New Roman" w:hAnsi="Times New Roman"/>
                <w:b/>
                <w:sz w:val="20"/>
                <w:szCs w:val="20"/>
                <w:lang w:val="sk-SK"/>
              </w:rPr>
            </w:pPr>
            <w:r w:rsidRPr="007F5B6A">
              <w:rPr>
                <w:rFonts w:ascii="Times New Roman" w:hAnsi="Times New Roman"/>
                <w:sz w:val="20"/>
                <w:szCs w:val="20"/>
                <w:shd w:val="clear" w:color="auto" w:fill="FFFFFF" w:themeFill="background1"/>
                <w:lang w:val="sk-SK"/>
              </w:rPr>
              <w:t>Navyše bolo do výberových kritérií doplnené zvýhodnenie obnovy lesa s využitím pionierskych drevín.</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159.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methods for assessment of various damages in forest potential according to Article 24(3) should be explained. Slovakia should indicate what kind of recovery measures will be supported for the outbreak of pests.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Metódy na ohodnotenie škôd lesného potenciálu sú súčasťou Metodického postupu určenia lesného potenciálu, miery jeho zničenia a obnovy, ktorý vypracováva Národné lesnícke centrum vo Zvolene a ktorý bude k dispozícii pre žiadateľov podpory, rovnako ako pre hodnotiteľov žiadostí na Pôdohospodárskej platobnej agentúre. Obnovným opatrením lesa pri výskyte škodcov je zalesnenie porastu.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160.</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Type of operation: D. Support for prevention of forest fires, natural disasters and catastrophic events to increase biological diversity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type of operations referred under this measure does not fit with restoration, but refers to the prevention, and therefore should be merged with A.</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Operácie bola presunutá do podopatrenia 8.3.</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Biological means of protection should be prioritized under the principles for setting selection criteria. The eligibility criteria should include the respect of the relevant legislation on nature protection and the consent of the nature protection body prior to applying this operation.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bolo revidované tak, že chemické spôsoby ochrany budú uplatňované len v prípade, že použitie biologických spôsobov nie je relevantné (eligible conditions). Súhlas orgánu ochrany prírody vydaný ešte pred realizáciou operácie  je vždy potrebný,  čo vychádza z právnych predpisov SR a je súčasťou ŽoNFP  z PRV.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162.</w:t>
            </w:r>
          </w:p>
        </w:tc>
        <w:tc>
          <w:tcPr>
            <w:tcW w:w="2963" w:type="pct"/>
            <w:shd w:val="clear" w:color="auto" w:fill="FFFFFF" w:themeFill="background1"/>
          </w:tcPr>
          <w:p w:rsidR="008F76AB" w:rsidRPr="007F5B6A" w:rsidRDefault="008F76AB" w:rsidP="00E91F7C">
            <w:pPr>
              <w:spacing w:after="0" w:line="240" w:lineRule="auto"/>
              <w:rPr>
                <w:rFonts w:ascii="Times New Roman" w:hAnsi="Times New Roman"/>
                <w:b/>
                <w:smallCaps/>
                <w:sz w:val="20"/>
                <w:szCs w:val="20"/>
                <w:lang w:val="en-GB"/>
              </w:rPr>
            </w:pPr>
            <w:r w:rsidRPr="007F5B6A">
              <w:rPr>
                <w:rFonts w:ascii="Times New Roman" w:hAnsi="Times New Roman"/>
                <w:b/>
                <w:smallCaps/>
                <w:sz w:val="20"/>
                <w:szCs w:val="20"/>
                <w:lang w:val="en-GB"/>
              </w:rPr>
              <w:t xml:space="preserve">Sub-measure 8.6: Specific requirements for the sub-measure investments in forestry technology and processing, in mobilising ad in the market of forestry products </w:t>
            </w:r>
          </w:p>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Type of operation: F. Support for the investment in forestry technologies and in processing, in mobilizing and in the marketing of forests products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how the identified needs are addressed by this measure.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Podopatrenie 8.6 reaguje najmä na potrebu </w:t>
            </w:r>
            <w:r w:rsidRPr="007F5B6A">
              <w:rPr>
                <w:rFonts w:ascii="Times New Roman" w:hAnsi="Times New Roman"/>
                <w:b/>
                <w:sz w:val="20"/>
                <w:szCs w:val="20"/>
                <w:lang w:val="sk-SK"/>
              </w:rPr>
              <w:t>č.10</w:t>
            </w:r>
            <w:r w:rsidRPr="007F5B6A">
              <w:rPr>
                <w:rFonts w:ascii="Times New Roman" w:hAnsi="Times New Roman"/>
                <w:sz w:val="20"/>
                <w:szCs w:val="20"/>
                <w:lang w:val="sk-SK"/>
              </w:rPr>
              <w:t xml:space="preserve"> Podpora udržateľného obhospodarovania lesov a zvýšenie ekonomickej hodnoty lesov.  Výmena a nákup morálne a fyzicky opotrebovaných technológií a mechanizmov používaných v lesnom hospodárstve najmä na ťažbu, približovanie a odvoz dreva, za technológie a mechanizmy spĺňajúce  vyššie Európske emisné normy /EUR 5, nie len prispeje k zlepšeniu životného prostredia a eliminácii zmien klímy, ale zabezpečí aj vyššiu spoľahlivosť a nižšiu poruchovosť zariadení, dostupnosť techniky pre vlastníkov a obhospodarovateľov lesa, čo zvýši ich ekonomickú hodnotu a konkurencieschopnosť. Vyšší výkon týchto zariadení a nákup a výmena týchto zariadení umožní samotné obhospodarovanie lesa. Realizácia tohto podopatrenia rovnako prispeje k napĺňaniu potrieb  </w:t>
            </w:r>
            <w:r w:rsidRPr="007F5B6A">
              <w:rPr>
                <w:rFonts w:ascii="Times New Roman" w:hAnsi="Times New Roman"/>
                <w:b/>
                <w:sz w:val="20"/>
                <w:szCs w:val="20"/>
                <w:lang w:val="sk-SK"/>
              </w:rPr>
              <w:t>č.15</w:t>
            </w:r>
            <w:r w:rsidRPr="007F5B6A">
              <w:rPr>
                <w:rFonts w:ascii="Times New Roman" w:hAnsi="Times New Roman"/>
                <w:sz w:val="20"/>
                <w:szCs w:val="20"/>
                <w:lang w:val="sk-SK"/>
              </w:rPr>
              <w:t xml:space="preserve"> Zvýšiť energetickú efektívnosť a podiel využívania OZE, </w:t>
            </w:r>
            <w:r w:rsidRPr="007F5B6A">
              <w:rPr>
                <w:rFonts w:ascii="Times New Roman" w:hAnsi="Times New Roman"/>
                <w:b/>
                <w:sz w:val="20"/>
                <w:szCs w:val="20"/>
                <w:lang w:val="sk-SK"/>
              </w:rPr>
              <w:t>č. 16</w:t>
            </w:r>
            <w:r w:rsidRPr="007F5B6A">
              <w:rPr>
                <w:rFonts w:ascii="Times New Roman" w:hAnsi="Times New Roman"/>
                <w:sz w:val="20"/>
                <w:szCs w:val="20"/>
                <w:lang w:val="sk-SK"/>
              </w:rPr>
              <w:t xml:space="preserve"> Eliminácia dopadov a adaptácia  pôdohospodárstva na zmeny klímy a </w:t>
            </w:r>
            <w:r w:rsidRPr="007F5B6A">
              <w:rPr>
                <w:rFonts w:ascii="Times New Roman" w:hAnsi="Times New Roman"/>
                <w:b/>
                <w:sz w:val="20"/>
                <w:szCs w:val="20"/>
                <w:lang w:val="sk-SK"/>
              </w:rPr>
              <w:t>č. 18</w:t>
            </w:r>
            <w:r w:rsidRPr="007F5B6A">
              <w:rPr>
                <w:rFonts w:ascii="Times New Roman" w:hAnsi="Times New Roman"/>
                <w:sz w:val="20"/>
                <w:szCs w:val="20"/>
                <w:lang w:val="sk-SK"/>
              </w:rPr>
              <w:t xml:space="preserve"> Udržanie existujúcich a vytváranie nových pracovných miest na vidieku.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in the RDP how the support will be effective and actually will increase the economic value of the forest areas where the investment takes place, and could also bring economic benefits to other sectors.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F32F97">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Tak ako je uvedené k pripomienke č. 162, obstaranie nových  mechanizmov umožní používanie moderných technológií, priaznivejších k životnému prostrediu, ktoré prispievajú k udržateľnému obhospodarovaniu lesov a zavádzaniu inovácií do lesného hospodárstva.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how the investments into ICT and internet connection are linked with this sub-measure. Costs foreseen of connection to internet seem not appropriate for this sub-measure.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Náklady na investície do IKT boli z podopatrenia odstránené.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indicated which organisation or body will assess and which methodology will be used to classify the forests which lost their natural regeneration ability.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Hodnotiteľom bude Národné lesnícke centrum,  v súčinnosti s miestne príslušnými organmi štátnej správy lesného hospodárstva, orgány štátnej správy.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methodology for the calculations of the amount of support and clarify whether standard costs will be used should be indicated.  Regional differences should be taken into account.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Výška podpory bola stanovená v súlade s požiadavkami zástupcov lesného hospodárstva, tak odborných organizácii, ako aj partnerov a samotných vlastníkov a obhospodarovateľov lesa. Oprávnené náklady projektu  sú vždy  výsledkom verejného obstarávania realizovaného podľa ustanovení  zákona č. 25/2006 Z.z. o Zákon o verejnom obstarávaní a o zmene a doplnení niektorých zákonov a ako také nemôžu byť dopredu stanovené.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167.</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9: Setting up of producer groups and organisations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detail in the RDP the minimum content of business plans (description of the initial situation, milestones or objectives as well as the administrative procedures for their approval and verification), required for granting support and to ensure that the producer group or organisation becomes a viable entity.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9 bude začlenené do podopatrenia 16.4 spolu s fin. alokáciou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better specify the objectives of this measure and if the support is targeted towards specific sub-sectors on the basis of the SWOT analysis. It should be confirmed that the support is limited to the Producer Groups and Producer Organisations that are SME. The contribution to the 3 cross-cutting objectives should be explained.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9 bude začlenené do podopatrenia 16.4 spolu s fin. alokáciou</w:t>
            </w:r>
          </w:p>
          <w:p w:rsidR="008F76AB" w:rsidRPr="007F5B6A" w:rsidRDefault="008F76AB" w:rsidP="00E91F7C">
            <w:pPr>
              <w:widowControl/>
              <w:spacing w:after="0" w:line="240" w:lineRule="auto"/>
              <w:rPr>
                <w:rFonts w:ascii="Times New Roman" w:hAnsi="Times New Roman"/>
                <w:b/>
                <w:sz w:val="20"/>
                <w:szCs w:val="20"/>
                <w:lang w:val="sk-SK"/>
              </w:rPr>
            </w:pP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169.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appropriate measures mitigating the identified risk of artificial creation of PG/PO only seeking financial support should be identified. Slovakia should indicate how the IT systems will be used, how the conditions of business plans will be checked and what will be the procedure for recovery of the sums paid in case that the business plan will be not fulfilled.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9 bude začlenené do podopatrenia 16.4 spolu s fin. alokáciou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methodology should clearly state the basis, main elements and method of calculation of the amount of support and the modalities of degressivity.  For forestry producer groups, the forestry related specificities (based on article 27.3) should also be added. Business plans should clearly refer to particular PO/PGs and should justify the producer group viability.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9 bude začlenené do podopatrenia 16.4 spolu s fin. alokáciou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be indicated, under links to other legislation, whether Producer Organisations established under (EU) Regulation No 1308/2013 will be also supported.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9 bude začlenené do podopatrenia 16.4 spolu s fin. alokáciou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propose selection criteria which are more relevant to the objectives of the programme and the measure. Some criteria proposed such as "Equal opportunities for men and women and non-discrimination, sustainability of the fulfilment of the criteria by the applicant, business plan" are general eligibility criteria.</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9 bude začlenené do podopatrenia 16.4 spolu s fin. alokáciou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173.</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10: Agri-environment-climate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As a general comment, the whole measure requires additional analyse and assessment of the  intensity/extensity of farming, its impact on the environment (water, soils, air), climate change and needs to protect biodiversity (HNV), at a level of detail higher of that used the SWOT analysis and needs assessment.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Opis opatrenia prepracovaný v zmysle pripomienky, text bude vpísaný aj do tabuľky.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identified needs are in some cases too general and it is not possible to link some schemes with the analysis, especially as regards support for the integrated production schemes.</w:t>
            </w:r>
          </w:p>
        </w:tc>
        <w:tc>
          <w:tcPr>
            <w:tcW w:w="296" w:type="pct"/>
            <w:shd w:val="clear" w:color="auto" w:fill="FFFFFF" w:themeFill="background1"/>
            <w:vAlign w:val="center"/>
          </w:tcPr>
          <w:p w:rsidR="008F76AB" w:rsidRPr="007F5B6A" w:rsidRDefault="008F76AB" w:rsidP="00A50CC9">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 xml:space="preserve">Odôvodnenie </w:t>
            </w:r>
            <w:r w:rsidRPr="007F5B6A">
              <w:rPr>
                <w:rFonts w:ascii="Times New Roman" w:hAnsi="Times New Roman"/>
                <w:sz w:val="20"/>
                <w:szCs w:val="20"/>
                <w:lang w:val="sk-SK"/>
              </w:rPr>
              <w:t xml:space="preserve">pre podporu IP bolo doplnené do potrieb. </w:t>
            </w:r>
          </w:p>
          <w:p w:rsidR="008F76AB" w:rsidRPr="007F5B6A" w:rsidRDefault="008F76AB" w:rsidP="00A50CC9">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V súlade  s Koncepciou rozvoja poľnohospodárstva SR do roku 2020  je prioritne podpora orientovaná do špeciálnej výroby.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 link should be made between the type of operation and RD priorities/focus areas, and Slovakia should also include a table (annex III of the AECM guidance document) demonstrating the link between the types of operations proposed and the standard categories of commitments.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50CC9">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Doplnené v zmysle pripomienky. Tabuľka v požadovanom formáte priložená k opatreniu.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contribution of integrated production schemes to the relevant FAs should be pointed out. The criteria for calculation of premia under organic (Measure 11) and integrated production should be revised. The proposed payments under integrated production are in all the operations too close to the amount of payments under organic production, even if the organic farming measure is more demanding in terms of commitments (no use of chemicals, limited use of fertilizers etc.) than integrated production.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Upravené v zmysle pripomienky. Výška platieb pre EP bude prehodnotená s ohľadom na špecifické podmienky opatrenia, ušlý príjem a iné oprávnené náklady.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complete the ex-ante assessment of verifiability and controllability provided in the Annex to measure 10 with the methods used for verifying each commitment. In many cases, the checks of the farm records seem not sufficient to verify the fulfilment of a commitment. The reduction in fertilizers and chemicals is part of some of the proposed type of operations, but it never gets any concrete value (i.e. by how much the input is to be reduced). It should be reminded that only a full reduction (use at 0 level) can guarantee a complete verification of the commitments. In other cases, a strong link and cooperation with advisory services is necessary to ensure that a reduction is feasible. However, even in such cases, the reduction must be significant to allow verifying its application and effects. Slovakia should complete the ex-ante assessment on how the proposed commitments are possible to verify and control and include this information into RDP.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020A3B" w:rsidP="00020A3B">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E</w:t>
            </w:r>
            <w:r w:rsidR="008F76AB" w:rsidRPr="007F5B6A">
              <w:rPr>
                <w:rFonts w:ascii="Times New Roman" w:hAnsi="Times New Roman"/>
                <w:bCs/>
                <w:sz w:val="20"/>
                <w:szCs w:val="20"/>
                <w:lang w:val="sk-SK"/>
              </w:rPr>
              <w:t xml:space="preserve">x ante hodnotenie  overiteľnosti a kontrolovateľnosti </w:t>
            </w:r>
            <w:r w:rsidRPr="007F5B6A">
              <w:rPr>
                <w:rFonts w:ascii="Times New Roman" w:hAnsi="Times New Roman"/>
                <w:bCs/>
                <w:sz w:val="20"/>
                <w:szCs w:val="20"/>
                <w:lang w:val="sk-SK"/>
              </w:rPr>
              <w:t xml:space="preserve">doplnené pre </w:t>
            </w:r>
            <w:r w:rsidR="008F76AB" w:rsidRPr="007F5B6A">
              <w:rPr>
                <w:rFonts w:ascii="Times New Roman" w:hAnsi="Times New Roman"/>
                <w:bCs/>
                <w:sz w:val="20"/>
                <w:szCs w:val="20"/>
                <w:lang w:val="sk-SK"/>
              </w:rPr>
              <w:t>všetk</w:t>
            </w:r>
            <w:r w:rsidRPr="007F5B6A">
              <w:rPr>
                <w:rFonts w:ascii="Times New Roman" w:hAnsi="Times New Roman"/>
                <w:bCs/>
                <w:sz w:val="20"/>
                <w:szCs w:val="20"/>
                <w:lang w:val="sk-SK"/>
              </w:rPr>
              <w:t>y</w:t>
            </w:r>
            <w:r w:rsidR="008F76AB" w:rsidRPr="007F5B6A">
              <w:rPr>
                <w:rFonts w:ascii="Times New Roman" w:hAnsi="Times New Roman"/>
                <w:bCs/>
                <w:sz w:val="20"/>
                <w:szCs w:val="20"/>
                <w:lang w:val="sk-SK"/>
              </w:rPr>
              <w:t xml:space="preserve"> podmienk</w:t>
            </w:r>
            <w:r w:rsidRPr="007F5B6A">
              <w:rPr>
                <w:rFonts w:ascii="Times New Roman" w:hAnsi="Times New Roman"/>
                <w:bCs/>
                <w:sz w:val="20"/>
                <w:szCs w:val="20"/>
                <w:lang w:val="sk-SK"/>
              </w:rPr>
              <w:t>y oprávnenosti a stanovené záväzky opatrenia/operácií a premietnuté do tabuliek administratívnych kontrol a kontrol na mieste</w:t>
            </w:r>
            <w:r w:rsidR="008F76AB" w:rsidRPr="007F5B6A">
              <w:rPr>
                <w:rFonts w:ascii="Times New Roman" w:hAnsi="Times New Roman"/>
                <w:bCs/>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baseline should be clearly defined and described in the RDP by type of operations. Slovakia should include also the comparison with the normal practice, as it is indicated in the SFC2014 format table.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020A3B">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 xml:space="preserve">Baseline doplnené </w:t>
            </w:r>
            <w:r w:rsidR="00020A3B" w:rsidRPr="007F5B6A">
              <w:rPr>
                <w:rFonts w:ascii="Times New Roman" w:hAnsi="Times New Roman"/>
                <w:bCs/>
                <w:sz w:val="20"/>
                <w:szCs w:val="20"/>
                <w:lang w:val="sk-SK"/>
              </w:rPr>
              <w:t>a popísané pre každý typ operácie PRV. Podmienky krížového plnenia a minimálnych činností doplnené do prílohy programu (viď nariadenie vlády č. 342/2014)</w:t>
            </w:r>
            <w:r w:rsidRPr="007F5B6A">
              <w:rPr>
                <w:rFonts w:ascii="Times New Roman" w:hAnsi="Times New Roman"/>
                <w:bCs/>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179.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 clear description of all minimum requirements for the use of fertilisers and plant protection products as defined by Slovakia should be included.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Doplnené. Ako v bode 178, tabuľka bude premietnutá do PRV v príslušnej časti.</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in the RDP whether the full or partial payment will apply and justify the partial payments. It also should indicate whether it will apply the variability of land under AEC commitments.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50CC9">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Doplnené. Údaje o výške platby a rozsahu poskytnutej pomoci doplnené v príslušnej časti PRV (odôvodnenie čiastkových platieb bolo v zmysle rokovaní s EK stanovené ako nepotrebné).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Only 'active farmers' are proposed as eligible although such concept does not apply to this measure. The reason for this limitation should be justified, and Slovakia should consider whether it will not jeopardise the achievement of the objectives of the measure and its contribution to the priorities and focus areas.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Upravené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methodology for calculation of payment should better describe how the exclusion of double-funding is ensured and how the aid granted under Regulation (EC) No 1307/2013, and in particular the notifications under Article 43(8) of the same Regulation, are taken into account.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Vysvetlené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is not obvious who made the calculations (it should be an independent body) and whether they were certified.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50CC9">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 xml:space="preserve">Doplnené.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differentiate the commitments in the RDP which are used for calculations and those which are not. They could be mentioned as additional conditions.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020A3B">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 xml:space="preserve">Upravené. </w:t>
            </w:r>
            <w:r w:rsidR="00020A3B" w:rsidRPr="007F5B6A">
              <w:rPr>
                <w:rFonts w:ascii="Times New Roman" w:hAnsi="Times New Roman"/>
                <w:bCs/>
                <w:sz w:val="20"/>
                <w:szCs w:val="20"/>
                <w:lang w:val="sk-SK"/>
              </w:rPr>
              <w:t>Záväzky operácií rozdelené na záväzky, za ktoré sa poskytuje platba a na dodatočné záväzky.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complete the data and figures used in the calculations (e.g. they are missing under scheme Protection against soil erosion) and indicate the relevant sources and referenced years.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Relevantné údaje 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combinations of complementary and compatible commitments in accordance with Article 11 of Commission Implementing Regulation (EU) No 808/2014) should be indicated.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020A3B">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Doplnené. Tabuľk</w:t>
            </w:r>
            <w:r w:rsidR="00020A3B" w:rsidRPr="007F5B6A">
              <w:rPr>
                <w:rFonts w:ascii="Times New Roman" w:hAnsi="Times New Roman"/>
                <w:bCs/>
                <w:sz w:val="20"/>
                <w:szCs w:val="20"/>
                <w:lang w:val="sk-SK"/>
              </w:rPr>
              <w:t>y kombinovateľnosti a komplementarity</w:t>
            </w:r>
            <w:r w:rsidRPr="007F5B6A">
              <w:rPr>
                <w:rFonts w:ascii="Times New Roman" w:hAnsi="Times New Roman"/>
                <w:bCs/>
                <w:sz w:val="20"/>
                <w:szCs w:val="20"/>
                <w:lang w:val="sk-SK"/>
              </w:rPr>
              <w:t xml:space="preserve"> priložen</w:t>
            </w:r>
            <w:r w:rsidR="00020A3B" w:rsidRPr="007F5B6A">
              <w:rPr>
                <w:rFonts w:ascii="Times New Roman" w:hAnsi="Times New Roman"/>
                <w:bCs/>
                <w:sz w:val="20"/>
                <w:szCs w:val="20"/>
                <w:lang w:val="sk-SK"/>
              </w:rPr>
              <w:t>é</w:t>
            </w:r>
            <w:r w:rsidRPr="007F5B6A">
              <w:rPr>
                <w:rFonts w:ascii="Times New Roman" w:hAnsi="Times New Roman"/>
                <w:bCs/>
                <w:sz w:val="20"/>
                <w:szCs w:val="20"/>
                <w:lang w:val="sk-SK"/>
              </w:rPr>
              <w:t xml:space="preserve"> v požadovanom formáte.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is not compulsory to establish selection criteria for AECM. However, a preferential access could be given to certain areas where the measure's implementation is of a particular importance. The currently proposed criteria should be revised in this regard.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Výberové kritériá stanovujeme pre prípad pretlaku žiadostí nad alokované finančné čiastky.  Chceme tým potenciálnych beneficientov informovať už v PRV o postupe RO.</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(výberové kritériá budú obsiahnuté v príslušnej národnej legislatíve).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188.</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10.1: Payments for agri-environment-climate </w:t>
            </w:r>
          </w:p>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Type of operation: Integrated production in orchards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types of fruits eligible for the aid and the concept of orchard in production should be defined.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Doplnené. Doplnené druhy podporeného ovocia ako aj definíciu pre produkčné ovocné sady.  6iady právny predpis SR neupravuje uvedenú definíciu. Táto je upravená v metodickom predpise odbornej inštitúcie ktoru je  Ústredný kontrolný a skúšobný ústav poľnohospodársky (kontrolný ústav), ktorý  je zo zákona poverený viesť aj register ovocných sadov v SR a súvisiace povinnosti. Tieto sú zhrnuté do metodického pokynu s podrobnejším rozpracovaním príslušných definícii. Je zverejnený na webovom sídle organizácie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189.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eligibility conditions and the commitments proposed should be revised. Slovakia should include the reference to verifiable reduction of fertilisers as an eligibility condition, and clarify why the reduction of chemicals is not used for the calculation of eligible cost while is part of eligibility conditions. It also should indicate the surface estimated to be covered.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Prehodnotené a 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integrated scheme for orchards should be justified in the needs. The general principles for integrated pest management are now part of the baseline, and only costs going beyond this baseline are eligible. This together with additional conditions to be paid for should be detailed in the programme. Slovakia should justify the reduced aid (77%) proposed for new orchards.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Doplnené a odôvodnené. Text bol doplnený v súlade s pripomienkou. Podmienky pre použitie POR zohľadňujú všeobecné požiadavky IPM a sú stanovené nad rámec.</w:t>
            </w:r>
          </w:p>
          <w:p w:rsidR="008F76AB" w:rsidRPr="007F5B6A" w:rsidRDefault="008F76AB" w:rsidP="00E91F7C">
            <w:pPr>
              <w:widowControl/>
              <w:spacing w:after="0" w:line="240" w:lineRule="auto"/>
              <w:rPr>
                <w:rFonts w:ascii="Times New Roman" w:hAnsi="Times New Roman"/>
                <w:sz w:val="20"/>
                <w:szCs w:val="20"/>
                <w:lang w:val="sk-SK"/>
              </w:rPr>
            </w:pP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justified how the commitment of regular treatment of bushes and trees such as cutting goes beyond normal practice or else this type of commitment should be excluded from calculations.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Vypustené z podmienok</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According to the description no transaction costs are foreseen. However, some of the additional costs such as sample analysis could be seen as transaction costs (not contributing to the direct impact of scheme). This should be verified and the calculations changed accordingly.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A50CC9">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Transakčné náklady vypustené.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193.</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Integrated production in vegetable sector</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integrated scheme for vegetables should be justified in the needs. The general principles for integrated pest management are now part of the baseline and only costs going beyond this baseline are eligible. This together with additional conditions to be paid for should be detailed in the programme. In addition, the partial reduction of use of fertilizers is too general and should be accompanied by a concrete figure compatible with an effective verifiability and controllability.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Odôvodnené a doplnené. Podmienky pre použitie POR zohľadňujú všeobecné požiadavky IPM a sú stanovené nad rámec.</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Podmienky , ktoré predstavujú dopad na ušlý príjem alebo dodatočné náklady budú konkretizované. Všeobecná požiadavka bude vypustená.</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194.</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Integrated production in vineyards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integrated scheme in vineyards should be justified in the needs. The general principles for integrated pest management are now part of the baseline and only costs going beyond this baseline are eligible. This together with additional conditions to be paid for should be detailed in the programme. The reduction of chemicals (number of applications) does not seem to be substantial change against common practice. This should be justified. In addition the aid for young vineyards does not correspond to additional requirements.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Odôvodnené a doplnené.</w:t>
            </w:r>
          </w:p>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Podmienky pre použitie POR zohľadňujú všeobecné požiadavky IPM a sú stanovené nad rámec.</w:t>
            </w:r>
          </w:p>
          <w:p w:rsidR="008F76AB" w:rsidRPr="007F5B6A" w:rsidRDefault="008F76AB" w:rsidP="001E6171">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V konvenčnej , bežnej p</w:t>
            </w:r>
            <w:r w:rsidR="001E6171" w:rsidRPr="007F5B6A">
              <w:rPr>
                <w:rFonts w:ascii="Times New Roman" w:hAnsi="Times New Roman"/>
                <w:bCs/>
                <w:sz w:val="20"/>
                <w:szCs w:val="20"/>
                <w:lang w:val="sk-SK"/>
              </w:rPr>
              <w:t>r</w:t>
            </w:r>
            <w:r w:rsidRPr="007F5B6A">
              <w:rPr>
                <w:rFonts w:ascii="Times New Roman" w:hAnsi="Times New Roman"/>
                <w:bCs/>
                <w:sz w:val="20"/>
                <w:szCs w:val="20"/>
                <w:lang w:val="sk-SK"/>
              </w:rPr>
              <w:t>axi nie je stanovený ani počet aplikáci</w:t>
            </w:r>
            <w:r w:rsidR="001E6171" w:rsidRPr="007F5B6A">
              <w:rPr>
                <w:rFonts w:ascii="Times New Roman" w:hAnsi="Times New Roman"/>
                <w:bCs/>
                <w:sz w:val="20"/>
                <w:szCs w:val="20"/>
                <w:lang w:val="sk-SK"/>
              </w:rPr>
              <w:t>í</w:t>
            </w:r>
            <w:r w:rsidRPr="007F5B6A">
              <w:rPr>
                <w:rFonts w:ascii="Times New Roman" w:hAnsi="Times New Roman"/>
                <w:bCs/>
                <w:sz w:val="20"/>
                <w:szCs w:val="20"/>
                <w:lang w:val="sk-SK"/>
              </w:rPr>
              <w:t xml:space="preserve"> ani množstvo aplikovanej dávky. Je to upravené len na etike ako odporúčanie výrobcu pre bezpečné použitie POR. Preto v IP je stanovený počet aplikácii a druh použitého POR s ohľadom na environmentálny vplyv a rozsah použitia v ohraničenom rozsahu.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195.</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Type of operation: Multi-functional edges of fields – bio-strips on the arable land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Eligibility conditions are not sufficiently precise (e.g. payment in only certain areas). It should be confirmed whether there is obligation to cover certain proportion of arable land on the farm by bio-strips. The eligibility conditions should be defined precisely, e.g. it is not possible to state that "mainly" lowland areas will be eligible. Likewise it should be clear if one mowing is allowed.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Upravené v zmysle pripomienky. Podmienky oprávnenosti budú definované konkrétne.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payment should cover only the area which is covered by the bio strips and not the whole parcel. This should be made clear in the RDP.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020A3B">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 xml:space="preserve">Stanovená platba je len za plochu biopásov. </w:t>
            </w:r>
            <w:r w:rsidR="00020A3B" w:rsidRPr="007F5B6A">
              <w:rPr>
                <w:rFonts w:ascii="Times New Roman" w:hAnsi="Times New Roman"/>
                <w:bCs/>
                <w:sz w:val="20"/>
                <w:szCs w:val="20"/>
                <w:lang w:val="sk-SK"/>
              </w:rPr>
              <w:t>U</w:t>
            </w:r>
            <w:r w:rsidRPr="007F5B6A">
              <w:rPr>
                <w:rFonts w:ascii="Times New Roman" w:hAnsi="Times New Roman"/>
                <w:bCs/>
                <w:sz w:val="20"/>
                <w:szCs w:val="20"/>
                <w:lang w:val="sk-SK"/>
              </w:rPr>
              <w:t>vedené v PRV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deadline for sowing the multifunctional belts should be justified taking into account the nesting period etc.</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Doplnené. Výsev multifunkčných pásov musí byť realizovaný do konca apríla.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198.</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Protection of semi-natural and natural grasslands of biotopes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scheme was implemented in the previous programming period with differentiated premia per type of biotopes. For 2014 – 2020, only one payment is proposed for all the types. Slovakia should clarify this significant adjustment of the scheme and provide a relevant justification. The upper level of LU density (1.9LU/ha) should also be justified.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Platby pre príslušné kategórie biotopov trávnych porastov boli sumarizované do dvoch rovnocenných kategórií s rôznymi výškami podpôr. Zaťaženie bolo odôvodnené.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199.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reduction of the aid level in NATURA2000 is not justified taking into account different conditions under this type of operation and NATURA2000 payments.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Ide o súbeh podpory za platbu z opatrenia Natura 2000 a AEKO platbu za biotop TTP na tú istú plochu s vylúčením nad kompenzácie.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200.</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Protection of biotopes of suslik</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provide justifications and/or assumptions that the protection of biotopes of suslik will provide the expected outcome. It should justify why the support under this scheme is excluded for combining with scheme for biotopes. The collective approach of farmers should be considered.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Musíme konštatovať, že uvedenú operáciu zásadným spôsobom požadovali príslušní partneri (MŽP SR, NGOs).</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Vzhľadom na dobrovoľnosť zapojenia sa poľnohospodárov do danej operácie môže RO len dôvodiť, že prostredníctvom informačných aktivít, vzdelávaním a poradenstvom vyvinie maximálne úsilie na efektívne zapojenie sa farmárov do danej  operácie.</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Vylúčenie súbežnej podpory sysľa s biotopmi TTP vychádza z rozdielnych podmienok oboch operácií. Pri biotopoch TTP sú stanovené presné termíny prvých kosieb pre zachovanie rastlinnej flóry, kým pri biotopoch sysľa je kosba intenzívnejšia a častejšia s podmienkou výšku porastu max.20 cm.</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201.</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Protection of great bustard</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provide justifications and/or assumptions that the protection of great bustard will result in the expected outcome, and that it will be supported by an appropriate level of payment and realistic baseline, in line with the production patterns and productivity of the region in question. In addition, it should clarify whether the mosaicity of farming will be ensured. The collective approach of farmers should be considered. The scheme will be targeted in NATURA 2000 areas. Any mandatory activities stemming from this NATURA2000 will be part of the baseline for the AEC measure. The baseline should be completed accordingly.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Odôvodnenie:</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Musíme konštatovať, že uvedenú operáciu zásadným spôsobom požadovali príslušní partneri (MŽP SR, NGOs).</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Vzhľadom na dobrovoľnosť zapojenia sa poľnohospodárov do danej operácie môže RO len dôvodiť, že prostredníctvom informačných aktivít, vzdelávaním a poradenstvom vyvinie maximálne úsilie na efektívne zapojenie sa farmárov do danej  operácie.</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Mozaikovosť zabezpečuje predpísaný osevný postup.</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Baseline bude doplnený.</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 the description maize is mentioned as disadvantageous crop while it is not subject of any specific limit in crop rotation.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 výsledkov rozboru vyplýva, že v danej oblasti je kukurica pestovaná na 33,5% osiatych plôch. Zavedením predpísaného osevného postupu sa zníži výmera kukurice na 8,5 %.</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Striedavé pestovanie plodín je v SR normálnou praxou.</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203.</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Protection against soil erosion</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Information on the acreage of soils affected by erosion should be provided. The expected effects of this scheme should be presented by taking into account the practices under GAEC and operations under other measures of the RDP. The secondary effects should be also highlighted.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Vzhľadom k tomu, že uvedenú operáciu navrhujeme vypustiť, pripomienku nevyhodnocujeme.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payments support should be provided only on the area of stabilized strips.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Vzhľadom k tomu, že uvedenú operáciu navrhujeme vypustiť, pripomienku nevyhodnocujeme.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205.</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Protection of water resources – Protected water areas Žitný ostrov</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impact of the scheme is not clear as regards the limits on use of fertilizers. Slovakia should also quantify the potential arable land foreseen for the support. Justify that the measures applied are not common practice.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B95F2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 xml:space="preserve">Doplnené a odôvodnené. Operácia je zameraná na ochranu podzemných vôd tým, že používanie hnojív je podmienené zisťovaním zásob dusíka z pôdy na základe analytických skúšok a s ohľadom na pestovanú plodinu a jej nároky na dusík, potom môžu byť dodané do maximálnej hodnoty 170 kg/ha v súlade s požiadavkami dusičnanovej smernice. Takýto postup neupravuje žiadny iný vnútroštátny predpis, ani sa to bežne nevykonáva z dôvodu vyššej  finančnej náročnosti a prácnosti. Plánované hnojenie vychádza z teoreticky  a empiricky odôvodnených praktík z odbornej literatúry. Podmienky schémy sú stanovené nad rámec bežnej poľnohospodárskej praxe. </w:t>
            </w:r>
            <w:r w:rsidRPr="007F5B6A">
              <w:rPr>
                <w:rFonts w:ascii="Times New Roman" w:hAnsi="Times New Roman"/>
                <w:bCs/>
                <w:sz w:val="20"/>
                <w:szCs w:val="20"/>
                <w:shd w:val="clear" w:color="auto" w:fill="FFFFFF" w:themeFill="background1"/>
                <w:lang w:val="sk-SK"/>
              </w:rPr>
              <w:t>Predpokladaná výmera podporenej ornej pôdy je 70 000 ha.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withdraw the investment costs for computer and GPS equipment from the calculation and adapt accordingly the payment under the scheme. In general, investment costs are not allowed to be included in calculations.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Upravené. Výpočty pre operáciu budú prehodnotené a upravené v zmysle pripomienky.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207.</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10.2: Support to conservation of genetic resources in agriculture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proposed sub-measure supports the rearing of local breeds in danger of being lost to farming (Article 7(2) of Reg. (EU) No 807/2014) and not conservation of genetic resources in agriculture and in forestry (Article 8 of Reg. (EU) No 807/2014t). This scheme should be moved under sub-measure 10.1 and to include all the information required under Article 7(3) of Reg. (EU) No 807/2014 in the RDP.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Schéma bude presunutá do podopatrenia 10.1.  Všetky požadované informácie podľa čl.  7(3) of Reg. (EU) No 807/2014 sú obsahom schémy.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208.</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11: Organic farming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include a reference to national action plan for the development of organic production and to the specific needs concerning the organic production – food supply.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 špecifických potrieb.</w:t>
            </w:r>
          </w:p>
          <w:p w:rsidR="008F76AB" w:rsidRPr="007F5B6A" w:rsidRDefault="008F76AB" w:rsidP="00E91F7C">
            <w:pPr>
              <w:widowControl/>
              <w:spacing w:after="0" w:line="240" w:lineRule="auto"/>
              <w:rPr>
                <w:rFonts w:ascii="Times New Roman" w:hAnsi="Times New Roman"/>
                <w:sz w:val="20"/>
                <w:szCs w:val="20"/>
                <w:lang w:val="sk-SK"/>
              </w:rPr>
            </w:pP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Vysvetlenie k akčnému plánu:</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SR vypracovala a realizovala doteraz dva Akčné plány pre ekologické poľnohospodárstvo. Prvý bol prijatý v roku 1995, druhý v roku 2005. </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súčasnosti SR na základe vládou SR prijatých nových strategických dokumentov v oblasti poľnohospodárstva v rokoch 2013 a 2014 pripravuje nový akčný plán pre rozvoj EP, ktorý by mal byť schválený v roku 2015.</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Je preto problematické odvolávať sa na už prekonaný akčný plán alebo zatiaľ neschválený.</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opise opatrenia uvedieme základné rámce rozvoja EP pre budúce obdobie.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209.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include an assessment of the verifiability and controllability of the measure in RDP, and also describe in more detail how each eligibility aspect is controlled.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check the compliance with the provisions of Reg. (EC) No 834/2007, in particular from the controllability point of view. The methodology for the calculations of the amount of support should be further detailed and certified by an independent body specifically confirming that double funding (with greening) is excluded. The dates and sources used for calculations should be indicated.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duration of the commitment and the duration of the conversion period in the RDP should be clearly stated. The following elements should be added (non-exhaustive examples):</w:t>
            </w:r>
          </w:p>
          <w:p w:rsidR="008F76AB" w:rsidRPr="007F5B6A" w:rsidRDefault="008F76AB" w:rsidP="00975BC8">
            <w:pPr>
              <w:widowControl/>
              <w:numPr>
                <w:ilvl w:val="0"/>
                <w:numId w:val="1"/>
              </w:numPr>
              <w:tabs>
                <w:tab w:val="left" w:pos="317"/>
              </w:tabs>
              <w:adjustRightInd/>
              <w:spacing w:after="0" w:line="240" w:lineRule="auto"/>
              <w:ind w:left="317" w:hanging="317"/>
              <w:jc w:val="both"/>
              <w:rPr>
                <w:rFonts w:ascii="Times New Roman" w:hAnsi="Times New Roman"/>
                <w:sz w:val="20"/>
                <w:szCs w:val="20"/>
                <w:lang w:val="en-GB"/>
              </w:rPr>
            </w:pPr>
            <w:r w:rsidRPr="007F5B6A">
              <w:rPr>
                <w:rFonts w:ascii="Times New Roman" w:hAnsi="Times New Roman"/>
                <w:sz w:val="20"/>
                <w:szCs w:val="20"/>
                <w:lang w:val="en-GB"/>
              </w:rPr>
              <w:t>selection criteria: Slovakia should define which protected areas are targeted and why ecological agriculture should be a priority there. It should be confirmed that the quality "BIO" is the certified production according to Reg. 834/2007.</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type of crops eligible for the aid  and estimated areas subject of aid.</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the definition of intensive orchards, extensive orchard, young orchards and young vineyards.</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justification for the decrease of the payment to 50% for extensive orchards and to 77% for young orchards and young vineyards.</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justification of the same rate applied for conversion as well as for maintenance of organic farming, taking into account that the costs/income losses are supposed to be higher during the conversion period than the maintenance period.</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justification for the need of LU density on permanent grassland, especially the upper levels of 1.9 and 2.0 LU/Ha under respectively conversion and maintenance.</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 xml:space="preserve">an additional cost for seeds is included in the aid calculation for grassland, while needs of seeds are not mentioned in the eligibility conditions. </w:t>
            </w:r>
          </w:p>
          <w:p w:rsidR="008F76AB" w:rsidRPr="007F5B6A" w:rsidRDefault="008F76AB"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the baseline should be updated according to the adopted practices stemming from Article 4(1) of the Direct Payments Regulation No 1307/2013. The relevant elements of GAECs/SMR in the baseline should be added.</w:t>
            </w:r>
          </w:p>
          <w:p w:rsidR="008F76AB" w:rsidRPr="007F5B6A" w:rsidRDefault="008F76AB" w:rsidP="00E91F7C">
            <w:pPr>
              <w:widowControl/>
              <w:spacing w:after="0" w:line="240" w:lineRule="auto"/>
              <w:rPr>
                <w:rFonts w:ascii="Times New Roman" w:hAnsi="Times New Roman"/>
                <w:sz w:val="20"/>
                <w:szCs w:val="20"/>
                <w:lang w:val="en-GB"/>
              </w:rPr>
            </w:pP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020A3B" w:rsidRPr="007F5B6A" w:rsidRDefault="00020A3B" w:rsidP="00020A3B">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Trvanie konverzného obdobia a udržania EP jednoznačne uvedené v PRV.</w:t>
            </w:r>
          </w:p>
          <w:p w:rsidR="00020A3B" w:rsidRPr="007F5B6A" w:rsidRDefault="00020A3B" w:rsidP="00020A3B">
            <w:pPr>
              <w:widowControl/>
              <w:spacing w:after="0" w:line="240" w:lineRule="auto"/>
              <w:rPr>
                <w:rFonts w:ascii="Times New Roman" w:hAnsi="Times New Roman"/>
                <w:bCs/>
                <w:sz w:val="20"/>
                <w:szCs w:val="20"/>
                <w:lang w:val="sk-SK"/>
              </w:rPr>
            </w:pP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Pri pretlaku žiadostí  uprednostnené  chránené oblasti vzhľadom na ich zaradenie do oblastí HNV so snahou zachovania týchto oblastí. Potvrdzujeme, že kvalita „Bio je certifikovaná v súlade s nariadením 834/2007.</w:t>
            </w: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Doplnený zoznam oprávnených plodín  a predpoklad podporených plôch.</w:t>
            </w: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Uvedené definície intenzívnych, extenzívnych a mladých ovocných sadov a mladých vinohradov.</w:t>
            </w: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Zníženie platby pre extenzívne sady o 50% je z dôvodu nižších nákladov a znížení potreby práce v porovnaní s intenzívnym sadom v súvislosti s menším počtom jedincov v porovnaní s intenzívnym sadom. U mladých sadov a vinohradov je toto zníženie z dôvodu vylúčenia zberových prác.</w:t>
            </w: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Výpočet vychádza z ušlých príjmov a dodatočných nákladov v porovnaní s konvenčným hospodárením a tieto sú rovnaké.</w:t>
            </w: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Rozdielnosť zaťaženia 1,9 a 2,0 DJ/ha je administratívna chyba. Správne je 1,9 DJ/ha.</w:t>
            </w:r>
          </w:p>
          <w:p w:rsidR="00020A3B" w:rsidRPr="007F5B6A" w:rsidRDefault="00020A3B" w:rsidP="00EF0D05">
            <w:pPr>
              <w:widowControl/>
              <w:numPr>
                <w:ilvl w:val="0"/>
                <w:numId w:val="18"/>
              </w:numPr>
              <w:spacing w:after="0" w:line="240" w:lineRule="auto"/>
              <w:ind w:left="317" w:hanging="283"/>
              <w:rPr>
                <w:rFonts w:ascii="Times New Roman" w:hAnsi="Times New Roman"/>
                <w:bCs/>
                <w:sz w:val="20"/>
                <w:szCs w:val="20"/>
                <w:lang w:val="sk-SK"/>
              </w:rPr>
            </w:pPr>
            <w:r w:rsidRPr="007F5B6A">
              <w:rPr>
                <w:rFonts w:ascii="Times New Roman" w:hAnsi="Times New Roman"/>
                <w:bCs/>
                <w:sz w:val="20"/>
                <w:szCs w:val="20"/>
                <w:lang w:val="sk-SK"/>
              </w:rPr>
              <w:t xml:space="preserve">Dodatočné náklady pre osivo doplnené do podmienok. </w:t>
            </w:r>
          </w:p>
          <w:p w:rsidR="008F76AB" w:rsidRPr="007F5B6A" w:rsidRDefault="00020A3B" w:rsidP="00020A3B">
            <w:pPr>
              <w:spacing w:after="0" w:line="240" w:lineRule="auto"/>
              <w:ind w:left="317" w:hanging="283"/>
              <w:jc w:val="both"/>
              <w:rPr>
                <w:rFonts w:ascii="Times New Roman" w:hAnsi="Times New Roman"/>
                <w:sz w:val="20"/>
                <w:szCs w:val="20"/>
                <w:lang w:val="sk-SK"/>
              </w:rPr>
            </w:pPr>
            <w:r w:rsidRPr="007F5B6A">
              <w:rPr>
                <w:rFonts w:ascii="Times New Roman" w:hAnsi="Times New Roman"/>
                <w:bCs/>
                <w:sz w:val="20"/>
                <w:szCs w:val="20"/>
                <w:lang w:val="sk-SK"/>
              </w:rPr>
              <w:t>•</w:t>
            </w:r>
            <w:r w:rsidRPr="007F5B6A">
              <w:rPr>
                <w:rFonts w:ascii="Times New Roman" w:hAnsi="Times New Roman"/>
                <w:bCs/>
                <w:sz w:val="20"/>
                <w:szCs w:val="20"/>
                <w:lang w:val="sk-SK"/>
              </w:rPr>
              <w:tab/>
              <w:t>Príslušné prvky GAEC/SMR 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for how many years the conversion and maintenance periods are established. It should be clearly separated. (2-3 years period is suggested for conversion).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identify the specific needs for organic farming at the territorial level (e.g. need to develop a regional market for organic products) and potential synergies between measures, under articles 29, 14, 15, 16, 17, 19, 23, 27, 28 and 33.</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52DD8" w:rsidRPr="007F5B6A" w:rsidRDefault="00652DD8" w:rsidP="00652DD8">
            <w:pPr>
              <w:spacing w:after="120" w:line="240" w:lineRule="auto"/>
              <w:rPr>
                <w:rFonts w:ascii="Times New Roman" w:hAnsi="Times New Roman"/>
                <w:sz w:val="20"/>
                <w:szCs w:val="20"/>
                <w:lang w:val="sk-SK"/>
              </w:rPr>
            </w:pPr>
            <w:r w:rsidRPr="007F5B6A">
              <w:rPr>
                <w:rFonts w:ascii="Times New Roman" w:hAnsi="Times New Roman"/>
                <w:sz w:val="20"/>
                <w:szCs w:val="20"/>
                <w:lang w:val="sk-SK"/>
              </w:rPr>
              <w:t xml:space="preserve">Slovenský trh s ekologickými produktmi je v zásade malý (aj keď zoberieme do úvahy celú SR). </w:t>
            </w:r>
          </w:p>
          <w:p w:rsidR="00652DD8" w:rsidRPr="007F5B6A" w:rsidRDefault="00652DD8" w:rsidP="00652DD8">
            <w:pPr>
              <w:spacing w:after="120" w:line="240" w:lineRule="auto"/>
              <w:rPr>
                <w:rFonts w:ascii="Times New Roman" w:hAnsi="Times New Roman"/>
                <w:sz w:val="20"/>
                <w:szCs w:val="20"/>
                <w:lang w:val="sk-SK"/>
              </w:rPr>
            </w:pPr>
            <w:r w:rsidRPr="007F5B6A">
              <w:rPr>
                <w:rFonts w:ascii="Times New Roman" w:hAnsi="Times New Roman"/>
                <w:sz w:val="20"/>
                <w:szCs w:val="20"/>
                <w:lang w:val="sk-SK"/>
              </w:rPr>
              <w:t>Definovanie špecifických potrieb na teritoriálnej úrovni je vo svojej podstate definovanie potrieb SR. Výroba ekologických produktov (aj z pohľadu SR) je a môže byť regionálna (chov oviec – ich produkty, produkcia obilnín – ich produkty, produkcia viniča – jej produkty atď.), ale ich dopyt (trh) je celoštátny.  </w:t>
            </w:r>
          </w:p>
          <w:p w:rsidR="00652DD8" w:rsidRPr="007F5B6A" w:rsidRDefault="00652DD8" w:rsidP="00652DD8">
            <w:pPr>
              <w:spacing w:after="120" w:line="240" w:lineRule="auto"/>
              <w:rPr>
                <w:rFonts w:ascii="Times New Roman" w:hAnsi="Times New Roman"/>
                <w:sz w:val="20"/>
                <w:szCs w:val="20"/>
                <w:lang w:val="sk-SK"/>
              </w:rPr>
            </w:pPr>
            <w:r w:rsidRPr="007F5B6A">
              <w:rPr>
                <w:rFonts w:ascii="Times New Roman" w:hAnsi="Times New Roman"/>
                <w:sz w:val="20"/>
                <w:szCs w:val="20"/>
                <w:lang w:val="sk-SK"/>
              </w:rPr>
              <w:t xml:space="preserve">Tento stav je teda charakteristický pre SR, a preto nie je potrebné definovať potreby regionálneho, ale celoslovenského charakteru. </w:t>
            </w:r>
          </w:p>
          <w:p w:rsidR="00652DD8" w:rsidRPr="007F5B6A" w:rsidRDefault="00652DD8" w:rsidP="00652DD8">
            <w:pPr>
              <w:spacing w:after="120" w:line="240" w:lineRule="auto"/>
              <w:rPr>
                <w:rFonts w:ascii="Times New Roman" w:hAnsi="Times New Roman"/>
                <w:sz w:val="20"/>
                <w:szCs w:val="20"/>
                <w:lang w:val="sk-SK"/>
              </w:rPr>
            </w:pPr>
            <w:r w:rsidRPr="007F5B6A">
              <w:rPr>
                <w:rFonts w:ascii="Times New Roman" w:hAnsi="Times New Roman"/>
                <w:sz w:val="20"/>
                <w:szCs w:val="20"/>
                <w:lang w:val="sk-SK"/>
              </w:rPr>
              <w:t>Pokiaľ ide o synergiu s opatrením 6 (čl.19), podpora v rámci podopatrení 6.1 a 6.3 nadväzuje/dopĺňa podporu v rámci opatrenia 11 (Ekologické poľnohospodárstvo), kde v rámci podopatrení 6.1 a 6.3 môže poľnohospodár získať pomoc na začatie jeho poľnohospodárskej činnosti a v rámci opatrenia 11 môže požiadať o kompenzáciu nákladov spojených so záväzkom ekologického poľnohospodárstva. Opatrenie 1 (čl.14) a opatrenie 2 (čl.15) bude dopĺňať podporu v rámci opatrenia 11 formou krátkodobých i dlhodobých vzdelávacích aktivít zvyšovaním vedomostnej úrovne poľnohospodárov v oblasti ekologického poľnohospodárstva a poradenstvom v oblasti plnenia podmienok vyplývajúcich zo záväzkov ekologického poľnohospodárstva.</w:t>
            </w:r>
          </w:p>
          <w:p w:rsidR="00652DD8" w:rsidRPr="007F5B6A" w:rsidRDefault="00652DD8" w:rsidP="00652DD8">
            <w:pPr>
              <w:spacing w:after="120" w:line="240" w:lineRule="auto"/>
              <w:rPr>
                <w:rFonts w:ascii="Times New Roman" w:hAnsi="Times New Roman"/>
                <w:sz w:val="20"/>
                <w:szCs w:val="20"/>
                <w:lang w:val="sk-SK"/>
              </w:rPr>
            </w:pPr>
            <w:r w:rsidRPr="007F5B6A">
              <w:rPr>
                <w:rFonts w:ascii="Times New Roman" w:hAnsi="Times New Roman"/>
                <w:sz w:val="20"/>
                <w:szCs w:val="20"/>
                <w:lang w:val="sk-SK"/>
              </w:rPr>
              <w:t xml:space="preserve">V rámci článku 17 (opatrenie 4) sú podporované  investície v oblasti poľnohospodárskej prvovýroby a spracovania čo nadväzuje/dopĺňa podporu v rámci opatrenia 11, ktorá čiastočne alebo v plnej výške kompenzuje ďalšie náklady a stratu príjmu v dôsledku prijatia záväzku na ekologické poľnohospodárstvo. </w:t>
            </w:r>
          </w:p>
          <w:p w:rsidR="00652DD8" w:rsidRPr="007F5B6A" w:rsidRDefault="00652DD8" w:rsidP="00652DD8">
            <w:pPr>
              <w:spacing w:after="120" w:line="240" w:lineRule="auto"/>
              <w:rPr>
                <w:rFonts w:ascii="Times New Roman" w:hAnsi="Times New Roman"/>
                <w:sz w:val="20"/>
                <w:szCs w:val="20"/>
                <w:lang w:val="sk-SK"/>
              </w:rPr>
            </w:pPr>
            <w:r w:rsidRPr="007F5B6A">
              <w:rPr>
                <w:rFonts w:ascii="Times New Roman" w:hAnsi="Times New Roman"/>
                <w:sz w:val="20"/>
                <w:szCs w:val="20"/>
                <w:lang w:val="sk-SK"/>
              </w:rPr>
              <w:t>Synergia s článkom 28 (AEKO) je v kombinovateľnosti vybraných operácií.</w:t>
            </w:r>
          </w:p>
          <w:p w:rsidR="008F76AB" w:rsidRPr="007F5B6A" w:rsidRDefault="00652DD8" w:rsidP="00652DD8">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So synergiou s článkom 33 sa neuvažuje.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214.</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Measure 12:  NATURA 2000 and Water Framework Directive</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justify in the RDP why only certain N2000 areas will be eligible for support (agricultural land in 4th and 5th level of protection and forestry land in only 5th level of protection + 5%).</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8F76AB" w:rsidRPr="007F5B6A" w:rsidRDefault="008F76AB" w:rsidP="0024284B">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MPRV SR vypracovalo a EK zaslalo „</w:t>
            </w:r>
            <w:r w:rsidRPr="007F5B6A">
              <w:rPr>
                <w:rFonts w:ascii="Times New Roman" w:hAnsi="Times New Roman"/>
                <w:i/>
                <w:sz w:val="20"/>
                <w:szCs w:val="20"/>
                <w:lang w:val="sk-SK"/>
              </w:rPr>
              <w:t>Analýzu možností poskytovania platieb z Programu rozvoja vidieka SR 2014-2020 prostredníctvom opatrenia Platby v rámci sústavy Natura 2000”</w:t>
            </w:r>
            <w:r w:rsidRPr="007F5B6A">
              <w:rPr>
                <w:rFonts w:ascii="Times New Roman" w:hAnsi="Times New Roman"/>
                <w:sz w:val="20"/>
                <w:szCs w:val="20"/>
                <w:lang w:val="sk-SK"/>
              </w:rPr>
              <w:t xml:space="preserve"> a jej výsledky boli zohľadnené v návrhu PRV.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consider whether this measure could contribute to secondary focus areas (e.g. FA6B tourism) and include also FA5E, as it is mentioned in the description that this measure contributes to carbon sequestration.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Zvážené a upravené.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ex-ante assessment of verifiability and controllability covers the two sub-measures for agricultural and forestry land. For the sake of clarity, it should separate this assessment per sub-measure and complete the mitigating actions for each potential risk and type of areas, as mentioned in the error rate action plan.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EX Ante hodnotenie kontrolovateľnosti a overiteľnosti je doplnené pre každé podopatrenie.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confirmed in the RDP that an independent body will certify that double funding risks are excluded.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Potvrdené, že výpočty certifikoval nezávislý orgán a vylúčil možnosť dvojitého financovania.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218.</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12.1 and 12.2: Compensation payments for NATURA 2000 Agricultural areas and forest areas </w:t>
            </w:r>
          </w:p>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12.1 Compensation payment for NATURA 2000 agricultural areas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should be a link to the following legislation: Direct Payments Regulation, (EU) No 1307/2013: Art. 4(1c) (minimum activity, maintenance of agricultural area); Horizontal Regulation, (EU) No1306/2013: Art.94 and Annex II (GAEC); It should be noted that the concept of "active farmer" do not apply to this measure. Eligible beneficiaries are defined in Art. 30(2)(3) of the Rural Development Regulation (EU) No1305/2013.</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Doplnená príslušná legislatíva.</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Aktívny farmár nie je podmienkou pre žiadateľov.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219.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baseline for NATURA2000 payments should be mentioned in the RDP, and the relevant GAECs standards are to be added (not only in the annex).</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Baseline je vložený do samotných podopatrení.</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220.</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12.2 Compensation payment for NATURA 2000 Forest areas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definition of "forest owners" in the RDP should be explained, as it does not seem to be the same as "forest holders" according to the legislation.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Oprávnený príjemca je zmenený na:</w:t>
            </w:r>
          </w:p>
          <w:p w:rsidR="008F76AB" w:rsidRPr="007F5B6A" w:rsidRDefault="008F76AB"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Oprávnený žiadateľ bude zmenený na: </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Súkromný obhospodarovateľ lesa alebo združenie súkromných obhospodarovateľov lesa.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 the description of measure it is mentioned that 5 % of areas outside of NATURA2000 will be eligible for support. Slovakia should characterize these areas and indicate the environmental restrictions which justify their inclusion (Art. 10 of the Habitat Directive).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Charakteristika a opis environmentálnych obmedzení týchto území je doplnená v opise podopatrenia.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222.</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Measure 13: Payments to areas facing natural or other specific constraints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This measure description needs to be revised in accordance with the requirements of Regulation (EU) No 1305/2013, and the commitments of the European Union in the WTO. ANC payments aim to compensate farmers for constraints related to the agricultural production, and not to tackling socio-economic situation of enterprises, as described in the measure description. It should be noted that the relevant focus area is normally 4A, unless a specific justification is provided.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020A3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Opatrenie prepracované v súlade s nariadením (EÚ) č. 1305/2013 a záväzkami EÚ k WTO.</w:t>
            </w:r>
          </w:p>
          <w:p w:rsidR="00020A3B" w:rsidRPr="007F5B6A" w:rsidRDefault="00020A3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Opravený aj príspevok opatrenia k relevantnej fokusovej oblasti 4A.</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223.</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methodology used for delimitation of the three types of areas under Article 32 1.a, 1.b and 1.c, the justification of the criteria used (e.g. altitude), and the deadline for the entry into force should be described in the RDP, while the existing delimitation including the link to webpage with the list of municipalities showing their inclusion per category, should be included in the Annex of RDP.</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Opatrenie prepracované. ANC vypracované podľa novej delimitácie (čl.32 nariadenia 1305/2013) </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224.</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MS commitment to use of new delimitation of 1.b ANC areas from 2018 should be indicated in the RDP.</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ANC vypracované podľa novej delimitácie uplatňuje SR od roku 2015.</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225.</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indicate how the condition in Article 31(2) of Reg.(EU) No 1305/2013 that farmers will "pursue farming activity" will be met and verified, including any requirement additional to the definition of an active farmer. </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F0D05">
            <w:pPr>
              <w:spacing w:after="0" w:line="240" w:lineRule="auto"/>
              <w:rPr>
                <w:rFonts w:ascii="Times New Roman" w:hAnsi="Times New Roman"/>
                <w:sz w:val="20"/>
                <w:szCs w:val="20"/>
                <w:lang w:val="sk-SK"/>
              </w:rPr>
            </w:pPr>
            <w:r w:rsidRPr="007F5B6A">
              <w:rPr>
                <w:rFonts w:ascii="Times New Roman" w:hAnsi="Times New Roman"/>
                <w:sz w:val="20"/>
                <w:szCs w:val="20"/>
                <w:lang w:val="sk-SK"/>
              </w:rPr>
              <w:t>Plnenie a kontrola bude zabezpečená: čestným prehlásením farmára o dodržaní podmienky a kontrolou na mieste – výkon činnosti.</w:t>
            </w:r>
          </w:p>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Beneficienti sú aktívni farmári.</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226.</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mitigating actions for reducing error risk taking into account the experience of the RDP 2007-2013 should be developed further.</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Zmierňujúcim opatrením na zníženie miery chybovosti  je postupné zavedenie geopriestorových formulárov žiadostí.</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227.</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differentiation of payments should refer only to the farming system, not to the type of farming, and should be soundly justified (for instance, how are livestock units related to farming systems). In addition, the payments differentiated according to the three sub-categories plant, mixed and animal production with the link to the livestock density cannot be accepted due to WTO rules. These should be adjusted accordingly. ANC payments are paid per hectare in agricultural area (not UAA). The proposed calculation based on the comparison of yields and additional costs should be completed with the details of those costs.</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Opatrenie prepracované podľa nariadenia (EÚ) 1305/2013. Uplatnený prístup diferencovania platieb podľa kategórií ANC a podľa farmárskych systémov a na ich základe stanovená len minimálna zaťaženosť DJ/ha trvalých trávnych porastov. </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228.</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starting point of 1020 ha for applying degressivity seems too high. The impact of the degressivity in financial terms for each size level should be indicated. Slovakia should also justify the exclusion of farmers below 0.3 LU/ha from the calculation of average size of the holding. The use of an average size in the size distribution must be justified.</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F0D05">
            <w:pPr>
              <w:spacing w:after="0" w:line="240" w:lineRule="auto"/>
              <w:rPr>
                <w:rFonts w:ascii="Times New Roman" w:hAnsi="Times New Roman"/>
                <w:sz w:val="20"/>
                <w:szCs w:val="20"/>
                <w:lang w:val="sk-SK"/>
              </w:rPr>
            </w:pPr>
            <w:r w:rsidRPr="007F5B6A">
              <w:rPr>
                <w:rFonts w:ascii="Times New Roman" w:hAnsi="Times New Roman"/>
                <w:sz w:val="20"/>
                <w:szCs w:val="20"/>
                <w:lang w:val="sk-SK"/>
              </w:rPr>
              <w:t>Výška degresivity platieb prepracovaná na nové kategórie veľkosti poľnohospodárskych podnikov.</w:t>
            </w:r>
          </w:p>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Opatrenie prepracované. </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229.</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No selection criteria should be provided under this measure as all the eligible land should be supported.</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Upravené.</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230.</w:t>
            </w:r>
          </w:p>
        </w:tc>
        <w:tc>
          <w:tcPr>
            <w:tcW w:w="2963" w:type="pct"/>
            <w:shd w:val="clear" w:color="auto" w:fill="FFFFFF" w:themeFill="background1"/>
          </w:tcPr>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in all the sub-measures the obligation to comply with cross-compliance requirements as referred to Article 92 of Reg. (EU) No 1306/2013.</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Uvedené v časti 8.1.2 PRV</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231.</w:t>
            </w:r>
          </w:p>
        </w:tc>
        <w:tc>
          <w:tcPr>
            <w:tcW w:w="2963" w:type="pct"/>
            <w:shd w:val="clear" w:color="auto" w:fill="FFFFFF" w:themeFill="background1"/>
          </w:tcPr>
          <w:p w:rsidR="00EF0D05" w:rsidRPr="007F5B6A" w:rsidRDefault="00EF0D05" w:rsidP="00E91F7C">
            <w:pPr>
              <w:pStyle w:val="Nadpis2"/>
              <w:spacing w:before="0" w:after="0"/>
              <w:rPr>
                <w:rFonts w:ascii="Times New Roman" w:hAnsi="Times New Roman"/>
                <w:sz w:val="20"/>
              </w:rPr>
            </w:pPr>
            <w:r w:rsidRPr="007F5B6A">
              <w:rPr>
                <w:rFonts w:ascii="Times New Roman" w:hAnsi="Times New Roman"/>
                <w:sz w:val="20"/>
              </w:rPr>
              <w:t>Sub-measure 13.1: Compensation payments in mountainous areas</w:t>
            </w:r>
          </w:p>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eligible costs have to be quantified in the RDP by comparison with the non-constrained areas.</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Oprávnené náklady kvantifikované v porovnaní s oblasťami bez obmedzenia.</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232.</w:t>
            </w:r>
          </w:p>
        </w:tc>
        <w:tc>
          <w:tcPr>
            <w:tcW w:w="2963" w:type="pct"/>
            <w:shd w:val="clear" w:color="auto" w:fill="FFFFFF" w:themeFill="background1"/>
          </w:tcPr>
          <w:p w:rsidR="00EF0D05" w:rsidRPr="007F5B6A" w:rsidRDefault="00EF0D05" w:rsidP="00E91F7C">
            <w:pPr>
              <w:pStyle w:val="Nadpis2"/>
              <w:spacing w:before="0" w:after="0"/>
              <w:rPr>
                <w:rFonts w:ascii="Times New Roman" w:hAnsi="Times New Roman"/>
                <w:sz w:val="20"/>
              </w:rPr>
            </w:pPr>
            <w:r w:rsidRPr="007F5B6A">
              <w:rPr>
                <w:rFonts w:ascii="Times New Roman" w:hAnsi="Times New Roman"/>
                <w:sz w:val="20"/>
              </w:rPr>
              <w:t xml:space="preserve">Sub-measure 13.2: Compensation payments for other areas facing significant natural constraints  </w:t>
            </w:r>
          </w:p>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confirm that minimum payment of at least 25Euros/ha will be respected, and indicate how this is achieved in certain categories.</w:t>
            </w:r>
          </w:p>
        </w:tc>
        <w:tc>
          <w:tcPr>
            <w:tcW w:w="296" w:type="pct"/>
            <w:shd w:val="clear" w:color="auto" w:fill="FFFFFF" w:themeFill="background1"/>
            <w:vAlign w:val="center"/>
          </w:tcPr>
          <w:p w:rsidR="00EF0D05" w:rsidRPr="007F5B6A" w:rsidRDefault="00EF0D05" w:rsidP="00E91F7C">
            <w:pPr>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Potvrdené a doplnené do textu opatrenia.</w:t>
            </w:r>
          </w:p>
        </w:tc>
      </w:tr>
      <w:tr w:rsidR="00EF0D05" w:rsidRPr="007F5B6A" w:rsidTr="00D877AC">
        <w:tc>
          <w:tcPr>
            <w:tcW w:w="235" w:type="pct"/>
            <w:shd w:val="clear" w:color="auto" w:fill="FFFFFF" w:themeFill="background1"/>
          </w:tcPr>
          <w:p w:rsidR="00EF0D05" w:rsidRPr="007F5B6A" w:rsidRDefault="00EF0D05"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233.</w:t>
            </w:r>
          </w:p>
        </w:tc>
        <w:tc>
          <w:tcPr>
            <w:tcW w:w="2963" w:type="pct"/>
            <w:shd w:val="clear" w:color="auto" w:fill="FFFFFF" w:themeFill="background1"/>
          </w:tcPr>
          <w:p w:rsidR="00EF0D05" w:rsidRPr="007F5B6A" w:rsidRDefault="00EF0D05" w:rsidP="00E91F7C">
            <w:pPr>
              <w:pStyle w:val="Nadpis2"/>
              <w:spacing w:before="0" w:after="0"/>
              <w:rPr>
                <w:rFonts w:ascii="Times New Roman" w:hAnsi="Times New Roman"/>
                <w:sz w:val="20"/>
              </w:rPr>
            </w:pPr>
            <w:r w:rsidRPr="007F5B6A">
              <w:rPr>
                <w:rFonts w:ascii="Times New Roman" w:hAnsi="Times New Roman"/>
                <w:sz w:val="20"/>
              </w:rPr>
              <w:t xml:space="preserve">Sub-measure 13.3: Compensation payments to other areas affected by specific constraints  </w:t>
            </w:r>
          </w:p>
          <w:p w:rsidR="00EF0D05" w:rsidRPr="007F5B6A" w:rsidRDefault="00EF0D05"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This sub-measure should be justified according to the requirements mentioned in Art. 32(4) of Reg. (EU) No 1305/2013.</w:t>
            </w:r>
          </w:p>
        </w:tc>
        <w:tc>
          <w:tcPr>
            <w:tcW w:w="296" w:type="pct"/>
            <w:shd w:val="clear" w:color="auto" w:fill="FFFFFF" w:themeFill="background1"/>
            <w:vAlign w:val="center"/>
          </w:tcPr>
          <w:p w:rsidR="00EF0D05" w:rsidRPr="007F5B6A" w:rsidRDefault="00EF0D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F0D05" w:rsidRPr="007F5B6A" w:rsidRDefault="00EF0D05"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Podopatrenie prepracované podľa  čl. 32(4) nariadenia 1305/2013.</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234.</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14: Animal Welfare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include a detailed description and argumentation of the animal welfare related measures by species and type of action proving that these actions go beyond the legally binding standards (baseline) and have a positive impact on the welfare of animals. The baseline standards including common practice should be spelled out under the schemes. The references to the legal standards are not sufficient.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Opis opatrenia prepracovaný v zmysle pripomienky.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main aim of the measure is to adopt higher animal welfare standards above the legal baseline. The higher quality productions with economically higher reward may be indicated as indirect effects. The relevant text under the contribution to FA3A should be adjusted.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Upravené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ex-ante assessment of verifiability and controllability of the measure should be included in the RDP (currently in the Annex). The audit findings on this measure in 2007 – 2013 should also be considered.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how many years will be covered by payments (N.B.: the possible range is 1-7 years).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indicate in the RDP the method of calculation of the different premia and the independent body who certified the calculation of payments under this measure. It should confirm that no investments costs and costs for drugs, vaccines and veterinary costs are included in the calculation of payment.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Upravené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239.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justify the selection criteria indicated for this measure. According to Article 33(2) of Reg. (EU) No 1305/2013, it is not mandatory to establish them for this measure.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Výberové kritériá stanovujeme pre prípad pretlaku žiadostí nad alokované finančné čiastky.  Chce tým potenciálnych beneficientov informovať už v PRV o postupe RO.</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(výberové kritériá budú obsiahnuté v príslušnej národnej legislatíve)</w:t>
            </w:r>
          </w:p>
          <w:p w:rsidR="008F76AB" w:rsidRPr="007F5B6A" w:rsidRDefault="008F76AB" w:rsidP="00E91F7C">
            <w:pPr>
              <w:widowControl/>
              <w:spacing w:after="0" w:line="240" w:lineRule="auto"/>
              <w:rPr>
                <w:rFonts w:ascii="Times New Roman" w:hAnsi="Times New Roman"/>
                <w:sz w:val="20"/>
                <w:szCs w:val="20"/>
                <w:lang w:val="sk-SK"/>
              </w:rPr>
            </w:pP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240.</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Improving care for dairy cows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baseline of the scheme should refer to the national legislation in force. Slovakia should update the scheme accordingly.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calculation method which only takes into account additional costs, and not income foregone should be revised.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Upravené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242.</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 xml:space="preserve">Type of operation: Improved housing of the welfare of pigs for fattening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be confirmed that the last Council Directive No 120/2008 is included in the national act No 735/2002 on which the baseline is based. </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should be more detail for each commitment of the obligations, going beyond the legal baseline, which allow the beneficiaries to receive the premia. The reference to the national legislation is not sufficient.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244.</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Enhancement of living conditions for farrowing and nurse sows</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baseline only refers to the national law without a clear description of the additional obligations. Some part of the commitment (heating for newly born piglets) is considered as a normal practice which does not generate additional costs. It should be indicated what is the normal practice for the weaning and the development of optimised and surveyed number of piglets (labours).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Príslušná časť podmienky prepracovaná</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actions for which the farmer may receive support and what is included under the transaction costs should be indicated in the RDP.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Transakčné náklady vypustené.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246.</w:t>
            </w:r>
          </w:p>
        </w:tc>
        <w:tc>
          <w:tcPr>
            <w:tcW w:w="2963" w:type="pct"/>
            <w:shd w:val="clear" w:color="auto" w:fill="FFFFFF" w:themeFill="background1"/>
          </w:tcPr>
          <w:p w:rsidR="008F76AB" w:rsidRPr="007F5B6A" w:rsidRDefault="008F76AB" w:rsidP="00E91F7C">
            <w:pPr>
              <w:pStyle w:val="Nadpis3"/>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Type of operation: Improvement of poultry breeding</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the additional impact on animal welfare of extending the period of feeding to at least 38 days. It should also indicate the normal weight/m2 practiced for broilers, and the normal turnover of batches in Slovakia. The linkage between the amount of support per LU and the number of batches should be clarified.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Doplnené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247.</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15: Forest-environmental and climate services (FECS) and forest conservation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complete the description of the measure with the reference to the environmental analysis of the territory including the potential coverage of high nature value areas as well as specific needs and priorities by this measure. The whole measure contributes to the Priority 4, and therefore the contribution to the FA4B should be also included. The measure does not plan resources under FA5E, therefore, the contribution to this FA should be indicated as secondary effect.  It should also describe the synergies with other measures, especially those under Articles 14, 15, 21 and 35.</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Opis opatrenia prepracovaný. </w:t>
            </w:r>
          </w:p>
          <w:p w:rsidR="008F76AB" w:rsidRPr="007F5B6A" w:rsidRDefault="008F76AB" w:rsidP="00E91F7C">
            <w:pPr>
              <w:widowControl/>
              <w:spacing w:after="0" w:line="240" w:lineRule="auto"/>
              <w:rPr>
                <w:rFonts w:ascii="Times New Roman" w:hAnsi="Times New Roman"/>
                <w:sz w:val="20"/>
                <w:szCs w:val="20"/>
                <w:lang w:val="sk-SK"/>
              </w:rPr>
            </w:pP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ex-ante assessment of verifiability and controllability of the measure into the RDP should be improved. The current proposal does not address the eligibility conditions and the proposed commitments.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EX Ante hodnotenie kontrolovateľnosti a overiteľnosti je doplnené pre každé podopatrenie.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249.</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describe the methodology for the calculations of the amount of support and indicate the independent body which certified the calculations also in the RDP.</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bCs/>
                <w:sz w:val="20"/>
                <w:szCs w:val="20"/>
                <w:lang w:val="sk-SK"/>
              </w:rPr>
            </w:pPr>
            <w:r w:rsidRPr="007F5B6A">
              <w:rPr>
                <w:rFonts w:ascii="Times New Roman" w:hAnsi="Times New Roman"/>
                <w:bCs/>
                <w:sz w:val="20"/>
                <w:szCs w:val="20"/>
                <w:lang w:val="sk-SK"/>
              </w:rPr>
              <w:t>Metodológia výpočtu je doplnená.</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Potvrdené, že výpočty certifikoval nezávislý orgán.</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250.</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15.1: Specific requirements for the sub-measure (payment for forest environment commitments)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confirm that the intervention area of this sub-measure always refers to the protected bird areas with 3</w:t>
            </w:r>
            <w:r w:rsidRPr="007F5B6A">
              <w:rPr>
                <w:rFonts w:ascii="Times New Roman" w:hAnsi="Times New Roman"/>
                <w:sz w:val="20"/>
                <w:szCs w:val="20"/>
                <w:vertAlign w:val="superscript"/>
                <w:lang w:val="en-GB"/>
              </w:rPr>
              <w:t>rd</w:t>
            </w:r>
            <w:r w:rsidRPr="007F5B6A">
              <w:rPr>
                <w:rFonts w:ascii="Times New Roman" w:hAnsi="Times New Roman"/>
                <w:sz w:val="20"/>
                <w:szCs w:val="20"/>
                <w:lang w:val="en-GB"/>
              </w:rPr>
              <w:t xml:space="preserve"> and 4</w:t>
            </w:r>
            <w:r w:rsidRPr="007F5B6A">
              <w:rPr>
                <w:rFonts w:ascii="Times New Roman" w:hAnsi="Times New Roman"/>
                <w:sz w:val="20"/>
                <w:szCs w:val="20"/>
                <w:vertAlign w:val="superscript"/>
                <w:lang w:val="en-GB"/>
              </w:rPr>
              <w:t>th</w:t>
            </w:r>
            <w:r w:rsidRPr="007F5B6A">
              <w:rPr>
                <w:rFonts w:ascii="Times New Roman" w:hAnsi="Times New Roman"/>
                <w:sz w:val="20"/>
                <w:szCs w:val="20"/>
                <w:lang w:val="en-GB"/>
              </w:rPr>
              <w:t xml:space="preserve"> degree of protection.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Potvrdené, že oprávnenými územiami sú územia v 3. a 4. stupni ochrany.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251.</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consider including into this scheme the protected bird areas with 2nd degree of protection in case of high nature value areas and increase in the coverage.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určitých rámcoch je možné uvažovať aj zahrnutie 2. stupňa ochrany. Avšak vzhľadom na finančnú alokáciu na dané podopatrenie bude nevyhnutné stanoviť výberové kritériá, ktoré budú vždy uprednostňovať 4. stupeň ochrany pred 3. stupňom ochrany a pre 2. stupňom ochrany.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justify why spruce forest has been excluded from the aid.</w:t>
            </w:r>
          </w:p>
        </w:tc>
        <w:tc>
          <w:tcPr>
            <w:tcW w:w="296" w:type="pct"/>
            <w:shd w:val="clear" w:color="auto" w:fill="FFFFFF" w:themeFill="background1"/>
            <w:vAlign w:val="center"/>
          </w:tcPr>
          <w:p w:rsidR="008F76AB" w:rsidRPr="007F5B6A" w:rsidRDefault="008F76AB" w:rsidP="006B66B2">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F0D05">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Podmienka týkajúca sa smrekových porastov bola s EK objasnená a relevantné závery boli premietnuté do opatrenia.</w:t>
            </w:r>
            <w:r w:rsidR="00EF0D05" w:rsidRPr="007F5B6A">
              <w:rPr>
                <w:rFonts w:ascii="Times New Roman" w:hAnsi="Times New Roman"/>
                <w:sz w:val="20"/>
                <w:szCs w:val="20"/>
                <w:lang w:val="sk-SK"/>
              </w:rPr>
              <w:t xml:space="preserve"> Z podpory nie sú vylúčené smrekové lesy, ale iba v podmienke ponechania 5 ks živých stromov na 1 ha lesa nebudú ponechané smreky.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commitments under the scheme do not include any reference to dead wood, although dead wood is mentioned as income foregone compensates by the payment in the forests concerned.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kalkulácii je zahrnutá platba za ponechanie 5 ks živých stromov nie mŕtveho dreva.</w:t>
            </w:r>
          </w:p>
          <w:p w:rsidR="008F76AB" w:rsidRPr="007F5B6A" w:rsidRDefault="008F76AB" w:rsidP="006B66B2">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Mŕtve drevo nie je uvedené ani v podmienkach podpory.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254.</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environmental impact of this scheme might be significantly improved by including the condition of leaving (in addition to living trees) also some dead trees (standing or lying) and prioritizing those with nesting or cavities at the site as priority. Slovakia should consider also how the nesting season of birds could be taken into account under this scheme.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Podmienka ponechávania odumretých stromov je obsiahnutá v základnej legislatíve SR (chránené vtáčie územia) a tým pádom sa stáva baseline.</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duration of the commitments in the RDP should be indicated.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Dĺžka záväzku je doplnená.</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indicate the potential beneficiaries according to Article 34(1) and confirm that in case of granting support to state-owned forests, the managing body will be a forest private body or municipality.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Potvrdené, oprávnenými prijímateľmi budú s</w:t>
            </w:r>
            <w:r w:rsidRPr="007F5B6A">
              <w:rPr>
                <w:rFonts w:ascii="Times New Roman" w:hAnsi="Times New Roman"/>
                <w:sz w:val="20"/>
                <w:szCs w:val="20"/>
                <w:lang w:val="sk-SK"/>
              </w:rPr>
              <w:t>úkromný alebo verejný  obhospodarovateľ lesa alebo združenie súkromných alebo verejných  obhospodarovateľov lesa.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also specify how the forest management plan will be used in the implementation of this scheme. The presentation of the relevant information from a forest management plan should be a precondition.</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Všetky lesné pozemky sú v zmysle zákona obhospodarované pomocou programov starostlivosti o les (LHP).</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258.</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main elements of the baseline should also be included under each measure within RDP (currently only in Annex 15).</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Baseline je doplnený do každého podopatrenia.</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259.</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15.2: Specific requirements for the sub-measure (support for the conservation and promotion of forest climatic resources)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current state of conservation of genetic resources should be pointed out in the SWOT analysis and the needs assessment. From the description of the measure, it is not clear to which need the proposed support corresponds and why there is particular need for in situ conservation of genetic resources taking into account also the market remuneration for them.</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Predmetné podopatrenie bolo z programu vypustené a nahradené operáciou ochrany biotopov vtákov.</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260.</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noted that the maximum amount of payment under Article 34(3) of the RDR established in the Annex II of that Regulations does not apply to the activities defined under Article 34(4). This means that the support under this sub-measure is not necessarily an area payment.  Therefore, the provided calculation of payment based on the additional costs and income foregone could be replaced by taking into account the purpose and costs for establishing and conservation genetic resources. The support might be given in different forms (part as investment, flat rate payment or standard costs for maintenance), always excluding legally binding activities and avoiding overcompensation (the variable costs linked to the production of genetic material for commercial purposes should not be taken into account).</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p w:rsidR="008F76AB" w:rsidRPr="007F5B6A" w:rsidRDefault="008F76AB" w:rsidP="00E91F7C">
            <w:pPr>
              <w:widowControl/>
              <w:spacing w:after="0" w:line="240" w:lineRule="auto"/>
              <w:jc w:val="center"/>
              <w:rPr>
                <w:rFonts w:ascii="Times New Roman" w:hAnsi="Times New Roman"/>
                <w:b/>
                <w:sz w:val="20"/>
                <w:szCs w:val="20"/>
                <w:lang w:val="sk-SK"/>
              </w:rPr>
            </w:pP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Predmetné podopatrenie bolo z programu vypustené.</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261.</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Measure 16: Cooperation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explained how the needs identified as a result of the SWOT will be specifically addressed by the measure. Slovakia should also  explain how the measure will specifically contribute to the 3 cross-cutting objectives It should be also confirmed that all the operations supported through the measure will be implemented through co-operation involving at least two partners (as the derogation offered in the second paragraph of Art. 35(3) is not being used).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Potreby b</w:t>
            </w:r>
            <w:r w:rsidR="009C4669" w:rsidRPr="007F5B6A">
              <w:rPr>
                <w:rFonts w:ascii="Times New Roman" w:hAnsi="Times New Roman"/>
                <w:sz w:val="20"/>
                <w:szCs w:val="20"/>
                <w:lang w:val="sk-SK"/>
              </w:rPr>
              <w:t>oli</w:t>
            </w:r>
            <w:r w:rsidRPr="007F5B6A">
              <w:rPr>
                <w:rFonts w:ascii="Times New Roman" w:hAnsi="Times New Roman"/>
                <w:sz w:val="20"/>
                <w:szCs w:val="20"/>
                <w:lang w:val="sk-SK"/>
              </w:rPr>
              <w:t xml:space="preserve"> upravené a taktiež b</w:t>
            </w:r>
            <w:r w:rsidR="009C4669" w:rsidRPr="007F5B6A">
              <w:rPr>
                <w:rFonts w:ascii="Times New Roman" w:hAnsi="Times New Roman"/>
                <w:sz w:val="20"/>
                <w:szCs w:val="20"/>
                <w:lang w:val="sk-SK"/>
              </w:rPr>
              <w:t>ol</w:t>
            </w:r>
            <w:r w:rsidRPr="007F5B6A">
              <w:rPr>
                <w:rFonts w:ascii="Times New Roman" w:hAnsi="Times New Roman"/>
                <w:sz w:val="20"/>
                <w:szCs w:val="20"/>
                <w:lang w:val="sk-SK"/>
              </w:rPr>
              <w:t xml:space="preserve"> doplnený prínos opatrenia k jednotlivým prierezovým cieľom.</w:t>
            </w:r>
          </w:p>
          <w:p w:rsidR="008F76AB" w:rsidRPr="007F5B6A" w:rsidRDefault="008F76AB"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Výnimka na základe čl. 35(3) je uplatnená -v podopatrení 16.2 v časti Informácie špecifické pre operáciu je uvedené, že podpora na operácie pilotných projektov sa môže poskytnúť aj individuálnym subjektom.</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262.</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indicate for each sub-measure/type of operation the forms of support according to its nature and in line with Articles 67 of Regulation (EU) No 1303/2013.</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9C4669"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Typ podpory bol upravený v jednotlivých podopatreniach.</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263.</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indicate how overcompensation will be avoided in case this measure is combined with other national or Union support instruments on the same territory.</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3D19D6">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Text b</w:t>
            </w:r>
            <w:r w:rsidR="009C4669" w:rsidRPr="007F5B6A">
              <w:rPr>
                <w:rFonts w:ascii="Times New Roman" w:hAnsi="Times New Roman"/>
                <w:sz w:val="20"/>
                <w:szCs w:val="20"/>
                <w:lang w:val="sk-SK"/>
              </w:rPr>
              <w:t>ol</w:t>
            </w:r>
            <w:r w:rsidRPr="007F5B6A">
              <w:rPr>
                <w:rFonts w:ascii="Times New Roman" w:hAnsi="Times New Roman"/>
                <w:sz w:val="20"/>
                <w:szCs w:val="20"/>
                <w:lang w:val="sk-SK"/>
              </w:rPr>
              <w:t xml:space="preserve"> doplnený do časti „Ďalšie dôležité informácie potrebné pre pochopenie a implementáciu opatrenia“ v závere všeobecného opisu opatrenia</w:t>
            </w:r>
            <w:r w:rsidR="003D19D6" w:rsidRPr="007F5B6A">
              <w:rPr>
                <w:rFonts w:ascii="Times New Roman" w:hAnsi="Times New Roman"/>
                <w:sz w:val="20"/>
                <w:szCs w:val="20"/>
                <w:lang w:val="sk-SK"/>
              </w:rPr>
              <w:t>.</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264.</w:t>
            </w:r>
          </w:p>
        </w:tc>
        <w:tc>
          <w:tcPr>
            <w:tcW w:w="2963" w:type="pct"/>
            <w:shd w:val="clear" w:color="auto" w:fill="FFFFFF" w:themeFill="background1"/>
          </w:tcPr>
          <w:p w:rsidR="008F76AB" w:rsidRPr="007F5B6A" w:rsidRDefault="008F76AB" w:rsidP="00E91F7C">
            <w:pPr>
              <w:pStyle w:val="Nadpis2"/>
              <w:spacing w:before="0" w:after="0"/>
              <w:rPr>
                <w:rFonts w:ascii="Times New Roman" w:hAnsi="Times New Roman"/>
                <w:sz w:val="20"/>
              </w:rPr>
            </w:pPr>
            <w:r w:rsidRPr="007F5B6A">
              <w:rPr>
                <w:rFonts w:ascii="Times New Roman" w:hAnsi="Times New Roman"/>
                <w:sz w:val="20"/>
              </w:rPr>
              <w:t xml:space="preserve">Sub-measure 16.1: support for the establishment and operation of operational groups of the EIP for agricultural productivity and sustainability </w:t>
            </w:r>
          </w:p>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whole structure of this sub-measure should be revised including the principles for the selection criteria at the light of concepts outlined in the implementation guidelines. It should be noted that the operational groups deal with a concrete problem and assemble the partner necessary to solve it. When the project is finished, the task of the group is over. Also the topics mentioned are not all in line with the EIP-AGRI: For example support for the tourism sector is mentioned. Slovakia should revise the other aspects (details on eligibility etc.) to ensure that the implementation of the EIP AGRI complies with the relevant legal provisions.</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9C4669" w:rsidRPr="007F5B6A" w:rsidRDefault="009C4669" w:rsidP="009C4669">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Opis opatrenia bol upravený v súlade s čl. 55, 56 a 57 nar</w:t>
            </w:r>
            <w:r w:rsidR="008D0E33" w:rsidRPr="007F5B6A">
              <w:rPr>
                <w:rFonts w:ascii="Times New Roman" w:hAnsi="Times New Roman"/>
                <w:sz w:val="20"/>
                <w:szCs w:val="20"/>
                <w:lang w:val="sk-SK"/>
              </w:rPr>
              <w:t>iadenia (EÚ)</w:t>
            </w:r>
            <w:r w:rsidRPr="007F5B6A">
              <w:rPr>
                <w:rFonts w:ascii="Times New Roman" w:hAnsi="Times New Roman"/>
                <w:sz w:val="20"/>
                <w:szCs w:val="20"/>
                <w:lang w:val="sk-SK"/>
              </w:rPr>
              <w:t xml:space="preserve"> 1305/2013.Princípy nastavenia výberových kritérií boli upravené doplnením základných výberových princípov ako aj prepracovaním ďalších doplňujúcich princípov. </w:t>
            </w:r>
          </w:p>
          <w:p w:rsidR="009C4669" w:rsidRPr="007F5B6A" w:rsidRDefault="009C4669" w:rsidP="009C4669">
            <w:pPr>
              <w:spacing w:after="0" w:line="240" w:lineRule="auto"/>
              <w:rPr>
                <w:rFonts w:ascii="Times New Roman" w:hAnsi="Times New Roman"/>
                <w:sz w:val="20"/>
                <w:szCs w:val="20"/>
                <w:lang w:val="sk-SK"/>
              </w:rPr>
            </w:pPr>
            <w:r w:rsidRPr="007F5B6A">
              <w:rPr>
                <w:rFonts w:ascii="Times New Roman" w:hAnsi="Times New Roman"/>
                <w:sz w:val="20"/>
                <w:szCs w:val="20"/>
                <w:lang w:val="sk-SK"/>
              </w:rPr>
              <w:t>V podmienkach oprávnenosti bolo konkretizované, že operačné skupiny EIP vznikajú za účelom riešenia konkrétneho problému, pričom ich projekt sa končí keď naň nájdu riešenie. Taktiež bolo doplnené, že je nutné dodržanie všeobecných podmienok oprávnenosti uvedených v kapitole 8.1.3.</w:t>
            </w:r>
          </w:p>
          <w:p w:rsidR="008F76AB" w:rsidRPr="007F5B6A" w:rsidRDefault="009C4669" w:rsidP="009C4669">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Zameranie EIP-AGRI bolo uvedené na základe čl. 55 v opise podopatrenia. Zmienka o podpore vidieckeho ruchu bola odstránená zo všeobecnej časti.</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265.</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indicated whether this type of operation will support EIP operational groups' projects, or only the process of setting up groups.</w:t>
            </w:r>
          </w:p>
        </w:tc>
        <w:tc>
          <w:tcPr>
            <w:tcW w:w="296" w:type="pct"/>
            <w:shd w:val="clear" w:color="auto" w:fill="FFFFFF" w:themeFill="background1"/>
            <w:vAlign w:val="center"/>
          </w:tcPr>
          <w:p w:rsidR="008F76AB"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6160DB" w:rsidP="003D19D6">
            <w:pPr>
              <w:spacing w:after="0" w:line="240" w:lineRule="auto"/>
              <w:rPr>
                <w:rFonts w:ascii="Times New Roman" w:hAnsi="Times New Roman"/>
                <w:sz w:val="20"/>
                <w:szCs w:val="20"/>
                <w:lang w:val="sk-SK"/>
              </w:rPr>
            </w:pPr>
            <w:r w:rsidRPr="007F5B6A">
              <w:rPr>
                <w:rFonts w:ascii="Times New Roman" w:hAnsi="Times New Roman"/>
                <w:sz w:val="20"/>
                <w:szCs w:val="20"/>
                <w:lang w:val="sk-SK"/>
              </w:rPr>
              <w:t>Pod touto operáciou bude financované aj zakladanie OS EIP, ako aj projekty.</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266.</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detail in what form(s) support will be provided. The current description (Investment, a non-profit, non-refundable financial contribution) seems insufficient to cover the different possibilities under this measure.</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9C4669" w:rsidP="003D19D6">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Text v časti typ podpory bol upravený</w:t>
            </w:r>
            <w:r w:rsidR="003D19D6"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8F76AB" w:rsidRPr="007F5B6A" w:rsidTr="00D877AC">
        <w:tc>
          <w:tcPr>
            <w:tcW w:w="235" w:type="pct"/>
            <w:shd w:val="clear" w:color="auto" w:fill="FFFFFF" w:themeFill="background1"/>
          </w:tcPr>
          <w:p w:rsidR="008F76AB" w:rsidRPr="007F5B6A" w:rsidRDefault="008F76AB"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267.</w:t>
            </w:r>
          </w:p>
        </w:tc>
        <w:tc>
          <w:tcPr>
            <w:tcW w:w="2963" w:type="pct"/>
            <w:shd w:val="clear" w:color="auto" w:fill="FFFFFF" w:themeFill="background1"/>
          </w:tcPr>
          <w:p w:rsidR="008F76AB" w:rsidRPr="007F5B6A" w:rsidRDefault="008F76AB"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explain what is meant by “promotion activities” in this context. This category of costs is intended essentially to cover promotion carried out in connection with short supply chains and local markets. However, the costs of dissemination of project results could be covered.</w:t>
            </w:r>
          </w:p>
        </w:tc>
        <w:tc>
          <w:tcPr>
            <w:tcW w:w="296" w:type="pct"/>
            <w:shd w:val="clear" w:color="auto" w:fill="FFFFFF" w:themeFill="background1"/>
            <w:vAlign w:val="center"/>
          </w:tcPr>
          <w:p w:rsidR="008F76AB" w:rsidRPr="007F5B6A" w:rsidRDefault="008F76AB"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F76AB" w:rsidRPr="007F5B6A" w:rsidRDefault="008F76AB" w:rsidP="009C4669">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Náklady na propagáciu b</w:t>
            </w:r>
            <w:r w:rsidR="009C4669" w:rsidRPr="007F5B6A">
              <w:rPr>
                <w:rFonts w:ascii="Times New Roman" w:hAnsi="Times New Roman"/>
                <w:sz w:val="20"/>
                <w:szCs w:val="20"/>
                <w:lang w:val="sk-SK"/>
              </w:rPr>
              <w:t>oli</w:t>
            </w:r>
            <w:r w:rsidRPr="007F5B6A">
              <w:rPr>
                <w:rFonts w:ascii="Times New Roman" w:hAnsi="Times New Roman"/>
                <w:sz w:val="20"/>
                <w:szCs w:val="20"/>
                <w:lang w:val="sk-SK"/>
              </w:rPr>
              <w:t xml:space="preserve"> odstránené a k priamym nákladom na projekt b</w:t>
            </w:r>
            <w:r w:rsidR="009C4669" w:rsidRPr="007F5B6A">
              <w:rPr>
                <w:rFonts w:ascii="Times New Roman" w:hAnsi="Times New Roman"/>
                <w:sz w:val="20"/>
                <w:szCs w:val="20"/>
                <w:lang w:val="sk-SK"/>
              </w:rPr>
              <w:t>olo</w:t>
            </w:r>
            <w:r w:rsidRPr="007F5B6A">
              <w:rPr>
                <w:rFonts w:ascii="Times New Roman" w:hAnsi="Times New Roman"/>
                <w:sz w:val="20"/>
                <w:szCs w:val="20"/>
                <w:lang w:val="sk-SK"/>
              </w:rPr>
              <w:t xml:space="preserve"> uvedené nasledovné: ..vrátane nákladov na šírenie dosiahnutých poznatkov;</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268.</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types of cost should allow assessment if they comply with Article 65 of Reg. (EU) No 1303/2013.</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8D0E33">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V časti Oprávnené výdavky bol doplnený nasledovný text: </w:t>
            </w:r>
            <w:r w:rsidRPr="007F5B6A">
              <w:rPr>
                <w:rFonts w:ascii="Times New Roman" w:hAnsi="Times New Roman"/>
                <w:i/>
                <w:sz w:val="20"/>
                <w:szCs w:val="20"/>
                <w:lang w:val="sk-SK"/>
              </w:rPr>
              <w:t>Oprávnenosť výdavkov je stanovená v čl. 65 nariadenia (EÚ) č. 1303/2013 a v čl. 60-61 nariadenia (EÚ) č. 1305/2013 a bude bližšie špecifikovaná v príručke pre žiadateľa.</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269.</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Support for more than seven years can only be provided in the case of collective environmental action under sub-measure 16.5.</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3D19D6">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Text v časti Ďalšie informácie špecifické pre dané opatrenie bol upravený</w:t>
            </w:r>
            <w:r w:rsidRPr="007F5B6A">
              <w:rPr>
                <w:rFonts w:ascii="Times New Roman" w:hAnsi="Times New Roman"/>
                <w:i/>
                <w:sz w:val="20"/>
                <w:szCs w:val="20"/>
                <w:lang w:val="sk-SK"/>
              </w:rPr>
              <w:t>.</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270.</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provisions of Art. 35(6) of the Rural Development Regulation (EU) No 1305/2013 on maximum aid rates and the relevant state aid rules must be followed, where applicable.</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9C4669">
            <w:pPr>
              <w:spacing w:after="0" w:line="240" w:lineRule="auto"/>
              <w:rPr>
                <w:rFonts w:ascii="Times New Roman" w:hAnsi="Times New Roman"/>
                <w:sz w:val="20"/>
                <w:szCs w:val="20"/>
                <w:lang w:val="sk-SK"/>
              </w:rPr>
            </w:pPr>
            <w:r w:rsidRPr="007F5B6A">
              <w:rPr>
                <w:rFonts w:ascii="Times New Roman" w:hAnsi="Times New Roman"/>
                <w:sz w:val="20"/>
                <w:szCs w:val="20"/>
                <w:lang w:val="sk-SK"/>
              </w:rPr>
              <w:t>Text bol doplnený do časti výška a miera oprávnenej pomoci v zmysle čl.35(6) nariadenia (EÚ) č. 1305/2013.</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271.</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should be a reference to the EIP operational groups' obligation to have internal procedures and project plan, as provided for under Articles 56(2) and 57(1) of Reg. (EU) No 1305/2013.</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6160DB">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Podmienky stanovenia vnútorných postupov a vypracovania plánu sú uvedené </w:t>
            </w:r>
            <w:r w:rsidR="006160DB" w:rsidRPr="007F5B6A">
              <w:rPr>
                <w:rFonts w:ascii="Times New Roman" w:hAnsi="Times New Roman"/>
                <w:sz w:val="20"/>
                <w:szCs w:val="20"/>
                <w:lang w:val="sk-SK"/>
              </w:rPr>
              <w:t>v podmienkach oprávnenosti</w:t>
            </w:r>
            <w:r w:rsidRPr="007F5B6A">
              <w:rPr>
                <w:rFonts w:ascii="Times New Roman" w:hAnsi="Times New Roman"/>
                <w:sz w:val="20"/>
                <w:szCs w:val="20"/>
                <w:lang w:val="sk-SK"/>
              </w:rPr>
              <w:t xml:space="preserve"> v súlade s článkom 56/2  a 57/1 nariadenia (EÚ) 1305/2013.</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272.</w:t>
            </w:r>
          </w:p>
        </w:tc>
        <w:tc>
          <w:tcPr>
            <w:tcW w:w="2963" w:type="pct"/>
            <w:shd w:val="clear" w:color="auto" w:fill="FFFFFF" w:themeFill="background1"/>
          </w:tcPr>
          <w:p w:rsidR="008D0E33" w:rsidRPr="007F5B6A" w:rsidRDefault="008D0E33" w:rsidP="00E91F7C">
            <w:pPr>
              <w:pStyle w:val="Nadpis2"/>
              <w:spacing w:before="0" w:after="0"/>
              <w:rPr>
                <w:rFonts w:ascii="Times New Roman" w:hAnsi="Times New Roman"/>
                <w:sz w:val="20"/>
              </w:rPr>
            </w:pPr>
            <w:r w:rsidRPr="007F5B6A">
              <w:rPr>
                <w:rFonts w:ascii="Times New Roman" w:hAnsi="Times New Roman"/>
                <w:sz w:val="20"/>
              </w:rPr>
              <w:t>Sub-measure 16.2: support for pilot projects and for the development of new products, practices, processes and technologies</w:t>
            </w:r>
          </w:p>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Many of the topics indicated in this sub-measure have strong links to other sub-measures – e.g. 16.4 (regarding short supply chains and local markets), 16.3 (in the case of tourism) and 16.5 (environment). Moreover, the Rural Development Delegated Act (Reg. (EU) No 807/2014) sets out particular provisions / conditions for some of these sub-measures (only "small operators" only for 16.3; characteristics of short supply chains and local markets for 16.4). Therefore, this sub-measure would be only justified, if the intention is genuinely to support activities which are regarded as "experimental". Otherwise, Slovakia should consider allocating the various operations envisaged to the relevant sub-measures. This would also prevent the risk of using sub-measure 16.2 as a means of circumventing the restrictions on other sub-measures.</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551765">
            <w:pPr>
              <w:spacing w:after="120" w:line="240" w:lineRule="auto"/>
              <w:rPr>
                <w:rFonts w:ascii="Times New Roman" w:hAnsi="Times New Roman"/>
                <w:sz w:val="20"/>
                <w:szCs w:val="20"/>
                <w:lang w:val="sk-SK"/>
              </w:rPr>
            </w:pPr>
            <w:r w:rsidRPr="007F5B6A">
              <w:rPr>
                <w:rFonts w:ascii="Times New Roman" w:hAnsi="Times New Roman"/>
                <w:sz w:val="20"/>
                <w:szCs w:val="20"/>
                <w:lang w:val="sk-SK"/>
              </w:rPr>
              <w:t xml:space="preserve">Prioritné zameranie pilotných bolo upravené tak, aby sa zabránilo využívaniu uvedeného opatrenia ako prostriedku na obchádzanie obmedzení iných opatrení. Z priorít boli vypustené časti, ktoré by mohli byť riešené hlavne opatreniami 16.4 (krátke dodávateľské reťazce) 16.3 (cestovný ruch). Zároveň pôjde o prioritizáciu opatrení, ktoré je možné z hľadiska SR považovať za pilotné resp. experimentálne slúžiace hlavne na naštartovanie procesov či už z hľadiska času pri dlhodobých projektoch resp. z hľadiska územia pri projektoch  zaberajúcich veľké územia a to hlavne tak, aby sa definovali všetky procesy a urobil sa „realizačný pilot“ z pohľadu územia alebo obdobia aplikácie. </w:t>
            </w:r>
          </w:p>
          <w:p w:rsidR="008D0E33" w:rsidRPr="007F5B6A" w:rsidRDefault="003D19D6" w:rsidP="003D19D6">
            <w:pPr>
              <w:spacing w:after="120" w:line="240" w:lineRule="auto"/>
              <w:contextualSpacing/>
              <w:rPr>
                <w:rFonts w:ascii="Times New Roman" w:hAnsi="Times New Roman"/>
                <w:sz w:val="20"/>
                <w:szCs w:val="20"/>
                <w:lang w:val="sk-SK"/>
              </w:rPr>
            </w:pPr>
            <w:r w:rsidRPr="007F5B6A">
              <w:rPr>
                <w:rFonts w:ascii="Times New Roman" w:hAnsi="Times New Roman"/>
                <w:sz w:val="20"/>
                <w:szCs w:val="20"/>
                <w:lang w:val="sk-SK"/>
              </w:rPr>
              <w:t>V opise operácie bol upravený text týkajúci sa prioritného zamerania pilotných projektov.</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273.</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justify how "the social and legal protection of children and social care" fits into this measure.</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551765">
            <w:pPr>
              <w:spacing w:after="0" w:line="240" w:lineRule="auto"/>
              <w:rPr>
                <w:rFonts w:ascii="Times New Roman" w:hAnsi="Times New Roman"/>
                <w:sz w:val="20"/>
                <w:szCs w:val="20"/>
                <w:lang w:val="sk-SK"/>
              </w:rPr>
            </w:pPr>
            <w:r w:rsidRPr="007F5B6A">
              <w:rPr>
                <w:rFonts w:ascii="Times New Roman" w:hAnsi="Times New Roman"/>
                <w:sz w:val="20"/>
                <w:szCs w:val="20"/>
                <w:lang w:val="sk-SK"/>
              </w:rPr>
              <w:t>Uvedená priorita bola vypustená v rámci opatrenia 16.2.</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274.</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types of cost should allow assess their compliance with Article 65 of Reg. (EU) No 1303/2013. Slovakia should specify the concept “promotion” in this context. In order to be eligible for support, “research and development costs” would have to be considered as “direct costs of a specific project”. The rule set out in Art. 35(4) of the Rural Development Regulation (dissemination of results) must be followed, whatever national rules may say on the subject.</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E92761" w:rsidRPr="007F5B6A" w:rsidRDefault="00E92761" w:rsidP="006D40E7">
            <w:pPr>
              <w:spacing w:after="0" w:line="240" w:lineRule="auto"/>
              <w:contextualSpacing/>
              <w:rPr>
                <w:rFonts w:ascii="Times New Roman" w:hAnsi="Times New Roman"/>
                <w:sz w:val="20"/>
                <w:szCs w:val="20"/>
                <w:lang w:val="sk-SK"/>
              </w:rPr>
            </w:pPr>
            <w:r w:rsidRPr="007F5B6A">
              <w:rPr>
                <w:rFonts w:ascii="Times New Roman" w:hAnsi="Times New Roman"/>
                <w:sz w:val="20"/>
                <w:szCs w:val="20"/>
                <w:lang w:val="sk-SK"/>
              </w:rPr>
              <w:t xml:space="preserve">V časti Oprávnené výdavky bol doplnený nasledovný text: </w:t>
            </w:r>
            <w:r w:rsidRPr="007F5B6A">
              <w:rPr>
                <w:rFonts w:ascii="Times New Roman" w:hAnsi="Times New Roman"/>
                <w:i/>
                <w:sz w:val="20"/>
                <w:szCs w:val="20"/>
                <w:lang w:val="sk-SK"/>
              </w:rPr>
              <w:t>Oprávnenosť výdavkov je stanovená v čl. 65 nariadenia</w:t>
            </w:r>
            <w:r w:rsidR="006D40E7" w:rsidRPr="007F5B6A">
              <w:rPr>
                <w:rFonts w:ascii="Times New Roman" w:hAnsi="Times New Roman"/>
                <w:i/>
                <w:sz w:val="20"/>
                <w:szCs w:val="20"/>
                <w:lang w:val="sk-SK"/>
              </w:rPr>
              <w:t xml:space="preserve"> (EÚ)</w:t>
            </w:r>
            <w:r w:rsidRPr="007F5B6A">
              <w:rPr>
                <w:rFonts w:ascii="Times New Roman" w:hAnsi="Times New Roman"/>
                <w:i/>
                <w:sz w:val="20"/>
                <w:szCs w:val="20"/>
                <w:lang w:val="sk-SK"/>
              </w:rPr>
              <w:t xml:space="preserve"> č. 1303/2013 a v čl. 60-61 nariadenia</w:t>
            </w:r>
            <w:r w:rsidR="006D40E7" w:rsidRPr="007F5B6A">
              <w:rPr>
                <w:rFonts w:ascii="Times New Roman" w:hAnsi="Times New Roman"/>
                <w:i/>
                <w:sz w:val="20"/>
                <w:szCs w:val="20"/>
                <w:lang w:val="sk-SK"/>
              </w:rPr>
              <w:t xml:space="preserve"> (EÚ)</w:t>
            </w:r>
            <w:r w:rsidRPr="007F5B6A">
              <w:rPr>
                <w:rFonts w:ascii="Times New Roman" w:hAnsi="Times New Roman"/>
                <w:i/>
                <w:sz w:val="20"/>
                <w:szCs w:val="20"/>
                <w:lang w:val="sk-SK"/>
              </w:rPr>
              <w:t xml:space="preserve"> č. 1305/2013 a bude bližšie špecifikovaná v príručke pre žiadateľa.</w:t>
            </w:r>
          </w:p>
          <w:p w:rsidR="00E92761" w:rsidRPr="007F5B6A" w:rsidRDefault="00E92761" w:rsidP="006D40E7">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Náklady na propagáciu boli odstránené. Náklady na výskum a vývoj budú premiestnené k priamym nákladom na projekt. </w:t>
            </w:r>
          </w:p>
          <w:p w:rsidR="008D0E33" w:rsidRPr="007F5B6A" w:rsidRDefault="00E92761" w:rsidP="00551765">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K priamym nákladom bol uvedený nasledovný text: “...vrátane nákladov na výskum a vývoj s tým spojený, nákladov na šírenie dosiahnutých poznatkov….”.</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275.</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advances of "50% of the eligible expenses" proposed to be paid for pilot projects should exclude costs such as animation of the area, operational costs and promotion activities which are not investment costs.</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3D19D6">
            <w:pPr>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Text bol upravený </w:t>
            </w:r>
            <w:r w:rsidR="003D19D6" w:rsidRPr="007F5B6A">
              <w:rPr>
                <w:rFonts w:ascii="Times New Roman" w:hAnsi="Times New Roman"/>
                <w:sz w:val="20"/>
                <w:szCs w:val="20"/>
                <w:lang w:val="sk-SK"/>
              </w:rPr>
              <w:t>v časti Typ podpory.</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276.</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Detail on the principles set for establishing selection criteria should be provided.</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Princípy nastavenia výberových kritérií boli upravené doplnením základných výberových princípov ako aj prepracovaním ďalších doplňujúcich princípov.</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277.</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confirm that where the project costs fit under other measures, the maximum aid intensities/amounts of the other measures will be respected.</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3D19D6">
            <w:pPr>
              <w:spacing w:after="0" w:line="240" w:lineRule="auto"/>
              <w:rPr>
                <w:rFonts w:ascii="Times New Roman" w:hAnsi="Times New Roman"/>
                <w:sz w:val="20"/>
                <w:szCs w:val="20"/>
                <w:lang w:val="sk-SK"/>
              </w:rPr>
            </w:pPr>
            <w:r w:rsidRPr="007F5B6A">
              <w:rPr>
                <w:rFonts w:ascii="Times New Roman" w:hAnsi="Times New Roman"/>
                <w:sz w:val="20"/>
                <w:szCs w:val="20"/>
                <w:lang w:val="sk-SK"/>
              </w:rPr>
              <w:t>Text bol doplnený do časti výška a miera oprávnenej pomoci</w:t>
            </w:r>
            <w:r w:rsidR="003D19D6"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278.</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 authorities are invited to provide justification for the inclusion of planting of energy crops among the supported activities as a pilot project and to explain the innovative and value-added nature of the activity.</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551765">
            <w:pPr>
              <w:spacing w:after="0" w:line="240" w:lineRule="auto"/>
              <w:rPr>
                <w:rFonts w:ascii="Times New Roman" w:hAnsi="Times New Roman"/>
                <w:sz w:val="20"/>
                <w:szCs w:val="20"/>
                <w:lang w:val="sk-SK"/>
              </w:rPr>
            </w:pPr>
            <w:r w:rsidRPr="007F5B6A">
              <w:rPr>
                <w:rFonts w:ascii="Times New Roman" w:hAnsi="Times New Roman"/>
                <w:sz w:val="20"/>
                <w:szCs w:val="20"/>
                <w:lang w:val="sk-SK"/>
              </w:rPr>
              <w:t>Uvedená priorita pestovanie energetických plodín a OZE bola vypustená v rámci opatrenia 16.2.</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279.</w:t>
            </w:r>
          </w:p>
        </w:tc>
        <w:tc>
          <w:tcPr>
            <w:tcW w:w="2963" w:type="pct"/>
            <w:shd w:val="clear" w:color="auto" w:fill="FFFFFF" w:themeFill="background1"/>
          </w:tcPr>
          <w:p w:rsidR="008D0E33" w:rsidRPr="007F5B6A" w:rsidRDefault="008D0E33" w:rsidP="00E91F7C">
            <w:pPr>
              <w:pStyle w:val="Nadpis2"/>
              <w:spacing w:before="0" w:after="0"/>
              <w:rPr>
                <w:rFonts w:ascii="Times New Roman" w:hAnsi="Times New Roman"/>
                <w:sz w:val="20"/>
              </w:rPr>
            </w:pPr>
            <w:r w:rsidRPr="007F5B6A">
              <w:rPr>
                <w:rFonts w:ascii="Times New Roman" w:hAnsi="Times New Roman"/>
                <w:sz w:val="20"/>
              </w:rPr>
              <w:t xml:space="preserve">Sub-measure 16.3: co-operation among small operators in organising joint work processes and sharing facilities and resources, and for developing and marketing tourism </w:t>
            </w:r>
          </w:p>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exact scope within the description of the operation should be clarified. The development of new products, practices etc. should be supported through sub-measure 16.2, not 16.3.</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3D19D6">
            <w:pPr>
              <w:spacing w:after="0" w:line="240" w:lineRule="auto"/>
              <w:rPr>
                <w:rFonts w:ascii="Times New Roman" w:hAnsi="Times New Roman"/>
                <w:b/>
                <w:sz w:val="20"/>
                <w:szCs w:val="20"/>
                <w:lang w:val="sk-SK"/>
              </w:rPr>
            </w:pPr>
            <w:r w:rsidRPr="007F5B6A">
              <w:rPr>
                <w:rFonts w:ascii="Times New Roman" w:hAnsi="Times New Roman"/>
                <w:sz w:val="20"/>
                <w:szCs w:val="20"/>
                <w:lang w:val="sk-SK"/>
              </w:rPr>
              <w:t>Text bol upravený v časti opis podopatrenia</w:t>
            </w:r>
            <w:r w:rsidR="003D19D6"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280.</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types of cost should allow assess its compliance with Article 65 of Reg. (EU) No 1303/2013. What is meant by “promotion” in this context.</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tcPr>
          <w:p w:rsidR="003D19D6" w:rsidRPr="007F5B6A" w:rsidRDefault="006D40E7" w:rsidP="00551765">
            <w:pPr>
              <w:spacing w:after="0" w:line="240" w:lineRule="auto"/>
              <w:rPr>
                <w:rFonts w:ascii="Times New Roman" w:hAnsi="Times New Roman"/>
                <w:i/>
                <w:sz w:val="20"/>
                <w:szCs w:val="20"/>
                <w:lang w:val="sk-SK"/>
              </w:rPr>
            </w:pPr>
            <w:r w:rsidRPr="007F5B6A">
              <w:rPr>
                <w:rFonts w:ascii="Times New Roman" w:hAnsi="Times New Roman"/>
                <w:sz w:val="20"/>
                <w:szCs w:val="20"/>
                <w:lang w:val="sk-SK"/>
              </w:rPr>
              <w:t xml:space="preserve">V časti Oprávnené výdavky bol doplnený nasledovný text: </w:t>
            </w:r>
            <w:r w:rsidRPr="007F5B6A">
              <w:rPr>
                <w:rFonts w:ascii="Times New Roman" w:hAnsi="Times New Roman"/>
                <w:i/>
                <w:sz w:val="20"/>
                <w:szCs w:val="20"/>
                <w:lang w:val="sk-SK"/>
              </w:rPr>
              <w:t>Oprávnenosť výdavkov je stanovená v čl. 65 nariadenia (EÚ) č. 1303/2013 a v čl. 60-61 nariadenia (EÚ) č. 1305/2013 a bude bližšie špecifikovaná v príručke pre žiadateľa.</w:t>
            </w:r>
          </w:p>
          <w:p w:rsidR="008D0E33" w:rsidRPr="007F5B6A" w:rsidRDefault="003D19D6" w:rsidP="00551765">
            <w:pPr>
              <w:spacing w:after="0" w:line="240" w:lineRule="auto"/>
              <w:rPr>
                <w:rFonts w:ascii="Times New Roman" w:hAnsi="Times New Roman"/>
                <w:b/>
                <w:sz w:val="20"/>
                <w:szCs w:val="20"/>
                <w:lang w:val="sk-SK"/>
              </w:rPr>
            </w:pPr>
            <w:r w:rsidRPr="007F5B6A">
              <w:rPr>
                <w:rFonts w:ascii="Times New Roman" w:hAnsi="Times New Roman"/>
                <w:i/>
                <w:sz w:val="20"/>
                <w:szCs w:val="20"/>
                <w:lang w:val="sk-SK"/>
              </w:rPr>
              <w:t>Náklady na propagačné činnosti boli odstránené.</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281.</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clarified that beneficiaries must comply with the definition of "small operators" in accordance with article 11(3) of Reg. (EU) No 807/2014.</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tcPr>
          <w:p w:rsidR="008D0E33" w:rsidRPr="007F5B6A" w:rsidRDefault="008D0E33" w:rsidP="003D19D6">
            <w:pPr>
              <w:widowControl/>
              <w:adjustRightInd/>
              <w:spacing w:after="0" w:line="240" w:lineRule="auto"/>
              <w:rPr>
                <w:rFonts w:ascii="Times New Roman" w:hAnsi="Times New Roman"/>
                <w:b/>
                <w:i/>
                <w:sz w:val="20"/>
                <w:szCs w:val="20"/>
                <w:lang w:val="sk-SK"/>
              </w:rPr>
            </w:pPr>
            <w:r w:rsidRPr="007F5B6A">
              <w:rPr>
                <w:rFonts w:ascii="Times New Roman" w:hAnsi="Times New Roman"/>
                <w:sz w:val="20"/>
                <w:szCs w:val="20"/>
                <w:lang w:val="sk-SK"/>
              </w:rPr>
              <w:t>D</w:t>
            </w:r>
            <w:r w:rsidR="003D19D6" w:rsidRPr="007F5B6A">
              <w:rPr>
                <w:rFonts w:ascii="Times New Roman" w:hAnsi="Times New Roman"/>
                <w:sz w:val="20"/>
                <w:szCs w:val="20"/>
                <w:lang w:val="sk-SK"/>
              </w:rPr>
              <w:t>efinícia malých hospodárskych subjektov bola doplnená d</w:t>
            </w:r>
            <w:r w:rsidRPr="007F5B6A">
              <w:rPr>
                <w:rFonts w:ascii="Times New Roman" w:hAnsi="Times New Roman"/>
                <w:sz w:val="20"/>
                <w:szCs w:val="20"/>
                <w:lang w:val="sk-SK"/>
              </w:rPr>
              <w:t>o časti Ďalšie informácie špecifické pre dané opatrenie</w:t>
            </w:r>
            <w:r w:rsidR="003D19D6"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282.</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principles set for establishing selection criteria should be explained.</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46486E">
            <w:pPr>
              <w:widowControl/>
              <w:adjustRightInd/>
              <w:spacing w:after="0" w:line="240" w:lineRule="auto"/>
              <w:rPr>
                <w:rFonts w:ascii="Times New Roman" w:hAnsi="Times New Roman"/>
                <w:b/>
                <w:sz w:val="20"/>
                <w:szCs w:val="20"/>
                <w:lang w:val="sk-SK"/>
              </w:rPr>
            </w:pPr>
            <w:r w:rsidRPr="007F5B6A">
              <w:rPr>
                <w:rFonts w:ascii="Times New Roman" w:hAnsi="Times New Roman"/>
                <w:sz w:val="20"/>
                <w:szCs w:val="20"/>
                <w:lang w:val="sk-SK"/>
              </w:rPr>
              <w:t>Princípy nastavenia výberových kritérií boli upravené doplnením základných výberových princípov ako aj prepracovaním ďalších doplňujúcich princípov.</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283.</w:t>
            </w:r>
          </w:p>
        </w:tc>
        <w:tc>
          <w:tcPr>
            <w:tcW w:w="2963" w:type="pct"/>
            <w:shd w:val="clear" w:color="auto" w:fill="FFFFFF" w:themeFill="background1"/>
          </w:tcPr>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confirm that where the project costs fit under other measures, the maximum aid intensities/amounts of the other measures will be respected.</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8D0E33" w:rsidP="003D19D6">
            <w:pPr>
              <w:spacing w:after="0" w:line="240" w:lineRule="auto"/>
              <w:rPr>
                <w:rFonts w:ascii="Times New Roman" w:hAnsi="Times New Roman"/>
                <w:b/>
                <w:sz w:val="20"/>
                <w:szCs w:val="20"/>
                <w:lang w:val="sk-SK"/>
              </w:rPr>
            </w:pPr>
            <w:r w:rsidRPr="007F5B6A">
              <w:rPr>
                <w:rFonts w:ascii="Times New Roman" w:hAnsi="Times New Roman"/>
                <w:sz w:val="20"/>
                <w:szCs w:val="20"/>
                <w:lang w:val="sk-SK"/>
              </w:rPr>
              <w:t>Text bol doplnený do časti výška a miera oprávnenej pomoci</w:t>
            </w:r>
            <w:r w:rsidR="003D19D6"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8D0E33" w:rsidRPr="007F5B6A" w:rsidTr="00D877AC">
        <w:tc>
          <w:tcPr>
            <w:tcW w:w="235" w:type="pct"/>
            <w:shd w:val="clear" w:color="auto" w:fill="FFFFFF" w:themeFill="background1"/>
          </w:tcPr>
          <w:p w:rsidR="008D0E33" w:rsidRPr="007F5B6A" w:rsidRDefault="008D0E33"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284.</w:t>
            </w:r>
          </w:p>
        </w:tc>
        <w:tc>
          <w:tcPr>
            <w:tcW w:w="2963" w:type="pct"/>
            <w:shd w:val="clear" w:color="auto" w:fill="FFFFFF" w:themeFill="background1"/>
          </w:tcPr>
          <w:p w:rsidR="008D0E33" w:rsidRPr="007F5B6A" w:rsidRDefault="008D0E33" w:rsidP="00E91F7C">
            <w:pPr>
              <w:pStyle w:val="Nadpis2"/>
              <w:spacing w:before="0" w:after="0"/>
              <w:rPr>
                <w:rFonts w:ascii="Times New Roman" w:hAnsi="Times New Roman"/>
                <w:sz w:val="20"/>
              </w:rPr>
            </w:pPr>
            <w:r w:rsidRPr="007F5B6A">
              <w:rPr>
                <w:rFonts w:ascii="Times New Roman" w:hAnsi="Times New Roman"/>
                <w:sz w:val="20"/>
              </w:rPr>
              <w:t>supply chain actors for the establishment and development of short supply chains and local markets and for promotion activities in a local context relating to the development of short supply chains and local markets.</w:t>
            </w:r>
          </w:p>
          <w:p w:rsidR="008D0E33" w:rsidRPr="007F5B6A" w:rsidRDefault="008D0E33"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noted that “Product development” is covered by sub-measure 16.2 rather than 16.4.</w:t>
            </w:r>
          </w:p>
        </w:tc>
        <w:tc>
          <w:tcPr>
            <w:tcW w:w="296" w:type="pct"/>
            <w:shd w:val="clear" w:color="auto" w:fill="FFFFFF" w:themeFill="background1"/>
            <w:vAlign w:val="center"/>
          </w:tcPr>
          <w:p w:rsidR="008D0E33" w:rsidRPr="007F5B6A" w:rsidRDefault="008D0E33"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D0E33" w:rsidRPr="007F5B6A" w:rsidRDefault="006160DB" w:rsidP="003D19D6">
            <w:pPr>
              <w:widowControl/>
              <w:spacing w:after="0" w:line="240" w:lineRule="auto"/>
              <w:rPr>
                <w:rFonts w:ascii="Times New Roman" w:hAnsi="Times New Roman"/>
                <w:b/>
                <w:i/>
                <w:sz w:val="20"/>
                <w:szCs w:val="20"/>
                <w:lang w:val="sk-SK"/>
              </w:rPr>
            </w:pPr>
            <w:r w:rsidRPr="007F5B6A">
              <w:rPr>
                <w:rFonts w:ascii="Times New Roman" w:hAnsi="Times New Roman"/>
                <w:sz w:val="20"/>
                <w:szCs w:val="20"/>
                <w:lang w:val="sk-SK"/>
              </w:rPr>
              <w:t>Akceptované, upravené.</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description of costs should allow assess their compliance with Article 65 of Reg. (EU) No 1303/2013. Research and development costs do not seem relevant for this sub-measure. The advance of "50% of the eligible expenses" proposed for pilot projects should exclude costs such as animation of the area, operational costs and promotion activities which are not investment costs.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123907">
            <w:pPr>
              <w:spacing w:after="120" w:line="240" w:lineRule="auto"/>
              <w:contextualSpacing/>
              <w:rPr>
                <w:rFonts w:ascii="Times New Roman" w:hAnsi="Times New Roman"/>
                <w:sz w:val="20"/>
                <w:szCs w:val="20"/>
                <w:lang w:val="sk-SK"/>
              </w:rPr>
            </w:pPr>
            <w:r w:rsidRPr="007F5B6A">
              <w:rPr>
                <w:rFonts w:ascii="Times New Roman" w:hAnsi="Times New Roman"/>
                <w:sz w:val="20"/>
                <w:szCs w:val="20"/>
                <w:lang w:val="sk-SK"/>
              </w:rPr>
              <w:t xml:space="preserve">V časti Oprávnené výdavky bol doplnený nasledovný text: </w:t>
            </w:r>
            <w:r w:rsidRPr="007F5B6A">
              <w:rPr>
                <w:rFonts w:ascii="Times New Roman" w:hAnsi="Times New Roman"/>
                <w:i/>
                <w:sz w:val="20"/>
                <w:szCs w:val="20"/>
                <w:lang w:val="sk-SK"/>
              </w:rPr>
              <w:t>Oprávnenosť výdavkov je stanovená v čl. 65 nariadenia (EÚ) č. 1303/2013 a v čl. 60-61 nariadenia (EÚ) č. 1305/2013 a bude bližšie špecifikovaná v príručke pre žiadateľa.</w:t>
            </w:r>
          </w:p>
          <w:p w:rsidR="006D40E7" w:rsidRPr="007F5B6A" w:rsidRDefault="006D40E7" w:rsidP="00123907">
            <w:pPr>
              <w:spacing w:after="120" w:line="240" w:lineRule="auto"/>
              <w:rPr>
                <w:rFonts w:ascii="Times New Roman" w:hAnsi="Times New Roman"/>
                <w:sz w:val="20"/>
                <w:szCs w:val="20"/>
                <w:lang w:val="sk-SK"/>
              </w:rPr>
            </w:pPr>
            <w:r w:rsidRPr="007F5B6A">
              <w:rPr>
                <w:rFonts w:ascii="Times New Roman" w:hAnsi="Times New Roman"/>
                <w:sz w:val="20"/>
                <w:szCs w:val="20"/>
                <w:lang w:val="sk-SK"/>
              </w:rPr>
              <w:t>Náklady na výskum a vývoj boli odstránené.</w:t>
            </w:r>
          </w:p>
          <w:p w:rsidR="006D40E7" w:rsidRPr="007F5B6A" w:rsidRDefault="006D40E7" w:rsidP="006D40E7">
            <w:pPr>
              <w:spacing w:after="0" w:line="240" w:lineRule="auto"/>
              <w:rPr>
                <w:rFonts w:ascii="Times New Roman" w:hAnsi="Times New Roman"/>
                <w:b/>
                <w:i/>
                <w:sz w:val="20"/>
                <w:szCs w:val="20"/>
                <w:lang w:val="sk-SK"/>
              </w:rPr>
            </w:pPr>
            <w:r w:rsidRPr="007F5B6A">
              <w:rPr>
                <w:rFonts w:ascii="Times New Roman" w:hAnsi="Times New Roman"/>
                <w:sz w:val="20"/>
                <w:szCs w:val="20"/>
                <w:lang w:val="sk-SK"/>
              </w:rPr>
              <w:t>Text bol upravený v časti Typ podpory</w:t>
            </w:r>
            <w:r w:rsidR="003D19D6" w:rsidRPr="007F5B6A">
              <w:rPr>
                <w:rFonts w:ascii="Times New Roman" w:hAnsi="Times New Roman"/>
                <w:sz w:val="20"/>
                <w:szCs w:val="20"/>
                <w:lang w:val="sk-SK"/>
              </w:rPr>
              <w:t>.</w:t>
            </w:r>
            <w:r w:rsidRPr="007F5B6A">
              <w:rPr>
                <w:rFonts w:ascii="Times New Roman" w:hAnsi="Times New Roman"/>
                <w:sz w:val="20"/>
                <w:szCs w:val="20"/>
                <w:lang w:val="sk-SK"/>
              </w:rPr>
              <w:t xml:space="preserve">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286.</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clarified that "short supply chains" are those involving no more than one intermediary between farmer and consumer, in accordance with Article 11(1) of Reg. (EU) No 807/2014.</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Definícia krátkeho dodávateľského reťazca bola doplnená do časti Informácie špecifické pre opatrenie</w:t>
            </w:r>
            <w:r w:rsidR="003D19D6"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287.</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define "local markets", for instance by a maximum radius (in km) from the farm of origin within which the activities of processing and sale to the final consumer must take place, in accordance with Article 11(2) (a) of Reg. (EU) No 807/2014A.</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Definícia miestneho trhu bola doplnená do časti Informácie špecifické pre opatrenie</w:t>
            </w:r>
            <w:r w:rsidR="003D19D6"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288.</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principles set for establishing selection criteria should be explained.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46486E">
            <w:pPr>
              <w:widowControl/>
              <w:adjustRightInd/>
              <w:spacing w:after="0" w:line="240" w:lineRule="auto"/>
              <w:rPr>
                <w:rFonts w:ascii="Times New Roman" w:hAnsi="Times New Roman"/>
                <w:b/>
                <w:sz w:val="20"/>
                <w:szCs w:val="20"/>
                <w:lang w:val="sk-SK"/>
              </w:rPr>
            </w:pPr>
            <w:r w:rsidRPr="007F5B6A">
              <w:rPr>
                <w:rFonts w:ascii="Times New Roman" w:hAnsi="Times New Roman"/>
                <w:sz w:val="20"/>
                <w:szCs w:val="20"/>
                <w:lang w:val="sk-SK"/>
              </w:rPr>
              <w:t>Princípy nastavenia výberových kritérií boli upravené doplnením základných výberových princípov ako aj prepracovaním ďalších doplňujúcich princípov.</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289.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confirmed that where the project costs fit under other measures, the maximum aid intensities/amounts of the other measures will be respected.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i/>
                <w:sz w:val="20"/>
                <w:szCs w:val="20"/>
                <w:lang w:val="sk-SK"/>
              </w:rPr>
            </w:pPr>
            <w:r w:rsidRPr="007F5B6A">
              <w:rPr>
                <w:rFonts w:ascii="Times New Roman" w:hAnsi="Times New Roman"/>
                <w:sz w:val="20"/>
                <w:szCs w:val="20"/>
                <w:lang w:val="sk-SK"/>
              </w:rPr>
              <w:t>Text bol doplnený do časti výška a miera oprávnenej pomoci</w:t>
            </w:r>
            <w:r w:rsidR="003D19D6" w:rsidRPr="007F5B6A">
              <w:rPr>
                <w:rFonts w:ascii="Times New Roman" w:hAnsi="Times New Roman"/>
                <w:sz w:val="20"/>
                <w:szCs w:val="20"/>
                <w:lang w:val="sk-SK"/>
              </w:rPr>
              <w:t>.</w:t>
            </w:r>
          </w:p>
        </w:tc>
      </w:tr>
      <w:tr w:rsidR="006D40E7" w:rsidRPr="007F5B6A" w:rsidTr="00D877AC">
        <w:tc>
          <w:tcPr>
            <w:tcW w:w="235" w:type="pct"/>
            <w:tcBorders>
              <w:bottom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290.</w:t>
            </w:r>
          </w:p>
        </w:tc>
        <w:tc>
          <w:tcPr>
            <w:tcW w:w="2963" w:type="pct"/>
            <w:tcBorders>
              <w:bottom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point on disseminating results does not seem relevant to this sub-measure.</w:t>
            </w:r>
          </w:p>
        </w:tc>
        <w:tc>
          <w:tcPr>
            <w:tcW w:w="296" w:type="pct"/>
            <w:tcBorders>
              <w:bottom w:val="single" w:sz="4" w:space="0" w:color="auto"/>
            </w:tcBorders>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tcBorders>
              <w:bottom w:val="single" w:sz="4" w:space="0" w:color="auto"/>
            </w:tcBorders>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o šírení výsledkov bol odstránený.</w:t>
            </w:r>
          </w:p>
        </w:tc>
      </w:tr>
      <w:tr w:rsidR="00862CEA"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291.</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Sub-measure 16.8: support for drawing up of forest management plans or equivalent instruments</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specify the scope of the actions envisaged. The activities described seem to go well beyond drawing up forest management plans, which is the content of this sub-measure.</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16.8. bolo z opatrenia 16 Spolupráca vypustené.</w:t>
            </w:r>
          </w:p>
        </w:tc>
      </w:tr>
      <w:tr w:rsidR="006D40E7"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292.</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describe the costs so to allow  the assessment of their compliance with Article 65 of Regulation (EU) No 1303/2013.</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16.8. bolo z opatrenia 16 Spolupráca vypustené.</w:t>
            </w:r>
          </w:p>
        </w:tc>
      </w:tr>
      <w:tr w:rsidR="006D40E7"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293.</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project management and promotion costs seem not relevant for this sub-measure. The support is only intended for drawing up of forest management plans. </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16.8. bolo z opatrenia 16 Spolupráca vypustené.</w:t>
            </w:r>
          </w:p>
        </w:tc>
      </w:tr>
      <w:tr w:rsidR="006D40E7"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294.</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noted that for this sub-measure, like the others about “co-operation”, at least two entities should be involved. The intention is to help smaller forest-holders work together to draw up joint forest management plans.</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16.8. bolo z opatrenia 16 Spolupráca vypustené.</w:t>
            </w:r>
          </w:p>
        </w:tc>
      </w:tr>
      <w:tr w:rsidR="006D40E7"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295.</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military forests have been also proposed for support although by their nature hardly could fit under the objectives of the measure, due to likely restrictions  on access to information on forest management plans and controls for security reasons.</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0802E1">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pStyle w:val="Bezriadkovania"/>
              <w:rPr>
                <w:rFonts w:ascii="Times New Roman" w:hAnsi="Times New Roman"/>
                <w:b/>
                <w:sz w:val="20"/>
                <w:szCs w:val="20"/>
              </w:rPr>
            </w:pPr>
            <w:r w:rsidRPr="007F5B6A">
              <w:rPr>
                <w:rFonts w:ascii="Times New Roman" w:hAnsi="Times New Roman"/>
                <w:sz w:val="20"/>
                <w:szCs w:val="20"/>
              </w:rPr>
              <w:t>Podopatrenie 16.8. bolo z opatrenia 16 Spolupráca vypustené.</w:t>
            </w:r>
          </w:p>
        </w:tc>
      </w:tr>
      <w:tr w:rsidR="006D40E7"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296.</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principles set for establishing selection criteria should be explained.</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16.8. bolo z opatrenia 16 Spolupráca vypustené.</w:t>
            </w:r>
          </w:p>
        </w:tc>
      </w:tr>
      <w:tr w:rsidR="00862CEA"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297.</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Dissemination of the projects results does not seem relevant for this sub-measure.</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6D40E7">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Podopatrenie 16.8. bolo z opatrenia 16 Spolupráca vypustené.</w:t>
            </w:r>
          </w:p>
        </w:tc>
      </w:tr>
      <w:tr w:rsidR="00862CEA" w:rsidRPr="007F5B6A" w:rsidTr="00D877A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35"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298.</w:t>
            </w:r>
          </w:p>
        </w:tc>
        <w:tc>
          <w:tcPr>
            <w:tcW w:w="2963"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Measure 17: Risk management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further elaborate the structure of the Mutual Funds (MF) with the information on number of farmers potentially involved and prospects of creation. It should also indicate the list of non-insurable risks in Slovakia and how the MFs can cover them.</w:t>
            </w:r>
          </w:p>
        </w:tc>
        <w:tc>
          <w:tcPr>
            <w:tcW w:w="29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123907">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left w:val="single" w:sz="4" w:space="0" w:color="auto"/>
              <w:bottom w:val="single" w:sz="4" w:space="0" w:color="auto"/>
              <w:right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tcBorders>
              <w:top w:val="single" w:sz="4" w:space="0" w:color="auto"/>
            </w:tcBorders>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299.</w:t>
            </w:r>
          </w:p>
        </w:tc>
        <w:tc>
          <w:tcPr>
            <w:tcW w:w="2963" w:type="pct"/>
            <w:tcBorders>
              <w:top w:val="single" w:sz="4" w:space="0" w:color="auto"/>
            </w:tcBorders>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contribution of this measure to the 3 cross-cutting objectives should be also indicated. </w:t>
            </w:r>
          </w:p>
        </w:tc>
        <w:tc>
          <w:tcPr>
            <w:tcW w:w="296" w:type="pct"/>
            <w:tcBorders>
              <w:top w:val="single" w:sz="4" w:space="0" w:color="auto"/>
            </w:tcBorders>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tcBorders>
              <w:top w:val="single" w:sz="4" w:space="0" w:color="auto"/>
            </w:tcBorders>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300.</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RDP refers to the maximum amount of support of 65%. It should be specified if and under which conditions lower rates might be applicable.</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methodology for calculation of the amount or support rate should be further developed. It should provide the calculation per eligible cost. The 'individual farmer contribution' could go into the description section.</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302.</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Sub-measure 17.2: Mutual funds for adverse climatic events, animal and plant diseases, pest infestation and environmental incidents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RDP should specify that the crisis event (not only for adverse climatic events) shall destroy more than 30% of the average annual production of the farmer, including the calculation methodology.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303.</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following items from Reg. (EU) No 808/2014 are not sufficiently described:</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A list of adverse climatic events, animal or plant diseases, pest infestations or environmental incidents which may give rise to the payment of compensation to farmers, including geographical scope where appropriate.</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 xml:space="preserve">The criteria for assessing whether a given event shall give rise to the payment of compensation to farmers. </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 xml:space="preserve">The methods for calculation of the additional costs which constitute economic losses. </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The method to be used for establishing the calculation of the proportion of the average annual production of a farmer which has been destroyed.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304.</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include among the eligibility conditions that the MF will provide for penalties in case of negligence on the part of the farmer.</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also indicate that the support is only paid out to farmers following formal recognition of the crisis event by the competent authority.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Opatrenie bolo z programu vypustené, viď vyhodnotenie pripomienky č. 2 bod F</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306.</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Measure 19: LEADER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Slovakian authorities propose to limit the scope under LEADER to the actions foreseen in the standard measures of the RDP. However, LEADER should reflect a genuine bottom-up approach and past experience has clearly shown that pre-defined, rigid approaches are less successful. This limitation unnecessarily limits the scope of activities that can be implemented under a local development strategy and hinders its integrated and bottom up features. Slovakia should reconsider the approach proposed.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123907">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Opis operácie v rámci podopatrenia 19.2 bol preformulovaný tak, že MAS môžu svoje stratégie v rámci podpory z EPFRV naplánovať flexibilne za podmienky, že budú v súlade so všeobecnými podmienkami oprávnenosti v rámci nariadenia (EÚ) 1303/2013, v súlade s nariadením (EÚ) 1305/2013, budú prispievať k cieľom stratégie CLLD a budú v súlade s cieľmi politiky rozvoja vidieka.</w:t>
            </w:r>
          </w:p>
          <w:p w:rsidR="006D40E7" w:rsidRPr="007F5B6A" w:rsidRDefault="006D40E7" w:rsidP="00B70205">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Niektoré opatrenia/operácie definované v nariadení (EÚ) 1305/2013 sú pre MAS neoprávnené z dôvodu ich charakteru – ide o tzv. neprojektové opatrenia, ako aj niektoré projektové opatrenia, ktorých realizácia je vhodná na národnej, a nie je žiaduca pre lokálnu úroveň – tieto opatrenia/operácie sú definované v časti „oprávnené náklady“. Zároveň sú definované opatrenia, pri ktorých MAS musí postupovať v súlade s cieľmi a podmienkami štandardných opatrení v PRV, a to z dôvodu potreby uplatňovania podmienok stanovených na národnej úrovni (napr. malí a mladí farmári).</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307.</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complete the description of the measure with all the obligatory elements of the LEADER/CLLD approach laid down in Art. 35 (1) of Common Provisions Regulation (see Annex I of Reg. (EU) No 808/2014, "Content of RDP", point 8).</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7693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Povinné prvky CLLD sú uvedené v samostatnej časti „f.“ podľa štruktúry systému SFC. Na základe pripomienky COM uvádzame text aj vo všeobecnom opise.</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308.</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indicate how LEADER contributes to the Priorities and FAs 1, 2, 3, 4B, 5C and 6, to innovation  and to the cross-cutting objectives of RD as a whole, also taking into account the principles of equality and non –discrimination (Art. 7 of Reg. (EU) No 1303/2014).</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7693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Príspevok k FO, prioritám a prierezovým cieľom, ako aj k horizontálnemu aspektu v oblasti rovnosti príležitostí je doplnený do všeobecného opisu opatrenia.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309.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indicate between mitigation actions how the potential risk of double funding will be mitigated (in particular following the possibility of several sources of funding provided for in Article 65(11) of Reg. (EU) No 1303/2013).</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Doplnené do časti „zmierňujúce opatrenia“.</w:t>
            </w:r>
          </w:p>
          <w:p w:rsidR="006D40E7" w:rsidRPr="007F5B6A" w:rsidRDefault="006D40E7" w:rsidP="00E7693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310.</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describe the coordination mechanisms and complementarities with operations supported under national schemes or under other rural development measures, especially as regards: investments in non-agricultural activities and business start-up aid (Art. 19); investments under Art. 20; and cooperation approaches under Art. 36 of Rural Development Regulation, in particular for the implementation of local development strategies by public-private partnerships.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76936">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je upravený v samostatnej časti „f.“ v rámci štruktúry SFC pod bodom „Opis predpokladaných mechanizmov koordinácie a zabezpečenia komplementárnosti s operáciami podporenými z iných opatrení rozvoja vidieka“.</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mentioned that Slovakia will apply multi-fund approach as indicated in the Partnership Agreement.</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25607">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je uvedený v samostatnej časti „f.“ podľa štruktúry systému SFC. Na základe pripomienky COM uvádzame text aj vo všeobecnom opise.</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312.</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criterion of size of the territory covered is indicated among the principles for setting the selection criteria. It should be explained why partnerships representing bigger territory should have priority in accessing the aid.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25607">
            <w:pPr>
              <w:widowControl/>
              <w:spacing w:after="120" w:line="240" w:lineRule="auto"/>
              <w:rPr>
                <w:rFonts w:ascii="Times New Roman" w:hAnsi="Times New Roman"/>
                <w:sz w:val="20"/>
                <w:szCs w:val="20"/>
                <w:lang w:val="sk-SK"/>
              </w:rPr>
            </w:pPr>
            <w:r w:rsidRPr="007F5B6A">
              <w:rPr>
                <w:rFonts w:ascii="Times New Roman" w:hAnsi="Times New Roman"/>
                <w:sz w:val="20"/>
                <w:szCs w:val="20"/>
                <w:lang w:val="sk-SK"/>
              </w:rPr>
              <w:t>V rámci podopatrenia 19.1, v časti princípy pre výber projektov bola odstránená časť ohľadom zvýhodňovania väčších partnerstiev  a boli doplnené princípy prioritizácie pre výber projektov.</w:t>
            </w:r>
          </w:p>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Pokiaľ ide o časť „Proces a časový harmonogram výberu stratégii“, kde bolo uvedené preferenčné kritérium zvýhodňovania väčších MAS pri výbere MAS, toto bolo nastavené na základe odporúčania ex-ante hodnotiteľa a táto podmienka bola po konzultácii s ex-ante hodnotiteľom odstránená.</w:t>
            </w:r>
            <w:r w:rsidRPr="007F5B6A">
              <w:rPr>
                <w:rFonts w:ascii="Times New Roman" w:hAnsi="Times New Roman"/>
                <w:b/>
                <w:sz w:val="20"/>
                <w:szCs w:val="20"/>
                <w:lang w:val="sk-SK"/>
              </w:rPr>
              <w:t xml:space="preserve">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313.</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values provided in the indicator tables in relation to the net population and the rural population covered by Local Development Strategies should be verified. The output indicators for the number of LAGs selected and population covered suggest that a LAG will cover on average 200 000 inhabitants. This is not coherent with the population limits set in the measure description (max. 150 000 inhabitants).</w:t>
            </w:r>
          </w:p>
        </w:tc>
        <w:tc>
          <w:tcPr>
            <w:tcW w:w="296" w:type="pct"/>
            <w:shd w:val="clear" w:color="auto" w:fill="FFFFFF" w:themeFill="background1"/>
            <w:vAlign w:val="center"/>
          </w:tcPr>
          <w:p w:rsidR="006D40E7" w:rsidRPr="007F5B6A" w:rsidRDefault="00AE10B2" w:rsidP="00AE10B2">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Pripomienka je nerelevantná, podľa všetkého prišlo k nedorozumeniu a podľa nášho názoru sú nastavené ukazovatele v poriadku: počet obyvateľov - 1 000 000, počet MAS – 50, priemer 20 000 obyvateľov/MAS.</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314.</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is important that there is a clear system of budget allocation for LDS. Different criteria can be taken into account provided that they are well grounded and compatible with the role LEADER is expected to play. The scope of strategy might be one of them but does not need if other sensible criteria are taken into account.</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 rámci predmetnej časti bolo doplnené aj kritérium rozsahu stratégie, text bol upravený nasledovne:</w:t>
            </w:r>
          </w:p>
          <w:p w:rsidR="006D40E7" w:rsidRPr="007F5B6A" w:rsidRDefault="006D40E7" w:rsidP="00AE10B2">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w:t>
            </w:r>
            <w:r w:rsidRPr="007F5B6A">
              <w:rPr>
                <w:rFonts w:ascii="Times New Roman" w:hAnsi="Times New Roman"/>
                <w:i/>
                <w:sz w:val="20"/>
                <w:szCs w:val="20"/>
                <w:lang w:val="sk-SK"/>
              </w:rPr>
              <w:t>V rámci nástroja CLLD sa bude uplatňovať diferencované financovanie MAS. Pre každú MAS bude stanovená jednotná minimálna výška finančných prostriedkov na 1 stratégiu. Táto suma bude môcť byť navýšená na základe stanovených kritérií (napr. veľkosť MAS, zameranie stratégie a pod.</w:t>
            </w:r>
            <w:r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be clearly described how LEADER will contribute to the innovation.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Cs/>
                <w:sz w:val="20"/>
                <w:szCs w:val="20"/>
                <w:lang w:val="sk-SK"/>
              </w:rPr>
              <w:t>Doplnený text v rámci príspevku k prierezovým cieľom – inovácie, v rámci kritérií pre výber stratégií je tiež zohľadnenie prínosu stratégie k inováciám, v rámci časti „f.“ v SFC pod bodom „Postup a harmonogram výberu stratégií miestneho rozvoja“ je ako súčasť stratégie v rámci výberových kritérií uvedená možnosť prioritizácie inovatívnych projektov.</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316.</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management tasks to be managed by LAGs according to Art .34 and those which go beyond this Article should be indicated.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bol doplnený v časti „f.“ v SFC pod bodom „Vymedzenie úloh riadiaceho orgánu, platobnej agentúry a MAS v rámci iniciatívy LEADER, najmä pokiaľ ide o nediskriminačné a transparentné výberové konanie a objektívne kritériá výberu operácií uvedených v článku 34 ods. 3 písm. b) nariadenia (EÚ) č. 1303/2013“.</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317.</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Sub-measure 19.1: Preparation support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Preparatory support should not be limited to partnerships which did not implement a LEADER strategy (LDS) in the period 2007-2013. This type of funding aims at preparation of LDS for the new period, which means that also more experienced partnerships might need it in order to submit a new, adapted strategy. Moreover, attention should be paid to avoid discrimination in the access to the aid.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617234">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v časti „podmienky oprávnenosti“ bol upravený tak, že oprávnené sú všetky partnerstvá.</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318.</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Sub-measure 19.2: Implementation of operations within the CLLD strategy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should be a clear description of the added value of LEADER in comparison to "standard operations" in top – down approach, of the specific eligibility conditions and the flexibility in the scope of support, as well as the principles with regard to the setting of selection criteria in the local development strategies.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617234">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Doplnené v časti opis operácie v rámci podopatrenia 19.2.</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319.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should be a description how it will be possible to support innovative projects.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617234">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Doplnené v časti opis operácie v rámci podopatrenia 19.2 + doplnený text v rámci príspevku k prierezovým cieľom – inovácie, v rámci kritérií pre výber stratégií je tiež zohľadnenie prínosu stratégie k inováciám, v rámci časti „f.“ v SFC pod bodom „Postup a harmonogram výberu stratégií miestneho rozvoja“ je ako súčasť stratégie v rámci výberových kritérií uvedená možnosť prioritizácie inovatívnych projektov.</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320.</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There should be a link to the relevant legislation on the eligible costs (CPR Reg. (EU) No 1303/2013, Art.65 – 71) and Reg. (EU) No 1305/2013 Art.45, 46 and others, if relevant.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617234">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doplnený v časti „oprávnené náklady“.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indicated clearly how the support will be provided. The possibility of using simplified cost options is mentioned but it should be indicated that the MA shall ensure that the standard costs are established following a methodology approved by an independent expert. As regards the maximum amount of support, a LAG should have the possibility to fix the amount of support and to modulate the aid intensity within the maximum allowed in the programme. It should thus be possible that a LAG fixes a higher intensity of aid than it would be granted under a standard measure.</w:t>
            </w:r>
          </w:p>
        </w:tc>
        <w:tc>
          <w:tcPr>
            <w:tcW w:w="296" w:type="pct"/>
            <w:shd w:val="clear" w:color="auto" w:fill="FFFFFF" w:themeFill="background1"/>
            <w:vAlign w:val="center"/>
          </w:tcPr>
          <w:p w:rsidR="006D40E7" w:rsidRPr="007F5B6A" w:rsidRDefault="006D40E7" w:rsidP="00617234">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upravený v časti „(Uplatniteľné) sumy a miery podpory“.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322.</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indicated whether a LAG can be an eligible beneficiary, and in such case, also to indicate the selection procedures to avoid conflicts of interest.</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617234">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 časti „Prijímatelia“ bolo doplnené, že samotná MAS nie je v rámci podopatrenia 19.2 oprávneným žiadateľom.“</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323.</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Sub-measure 19.3: Preparation and implementation of co-operation activities of the LAG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There should be a clear separation between support for preparation and support for cooperation projects also in terms of eligible costs. For cooperation projects, the nature and scope of foreseen operations, the needs and objectives for either one or both types of cooperation and the eligible costs should be specified.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Text bol doplnený v časti „Opis operácie“, v časti „Oprávnené náklady“ a v časti „Podmienky oprávnenosti“.</w:t>
            </w:r>
          </w:p>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Zároveň bol ponechaný text  „Podrobnejší zoznam oprávnených, resp. neoprávnených nákladov bude uvedený v metodickej príručke, týkajúcej sa projektov spolupráce, ktorá bude zverejnená v súlade s čl. 44(3) nariadenia (EÚ) 1305/2013 najneskôr 2 roky od dátumu schválenia PRV.“, pretože tento text je v súlade s čl. 44(3) nariadenia (EÚ) 1305/2013.</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324.</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As the selection of co-operation projects will be made by the MA, principles regarding setting the aid intensity should be explained. In principle, 100% aid intensity could be accepted provided it is in line with provisions on applicable state aid. However, application of such maximum aid intensity should be justified by a strategic role of the operation (e.g. of general interest, non-profit, need for incentive).</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Text v časti “(Uplatniteľné) sumy a miery podpory” bol upravený.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325.</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Sub-measure 19.4: Running costs and animation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Please note the following remarks relating to running costs and animation:</w:t>
            </w:r>
          </w:p>
          <w:p w:rsidR="006D40E7" w:rsidRPr="007F5B6A" w:rsidRDefault="006D40E7" w:rsidP="00975BC8">
            <w:pPr>
              <w:widowControl/>
              <w:numPr>
                <w:ilvl w:val="0"/>
                <w:numId w:val="2"/>
              </w:numPr>
              <w:adjustRightInd/>
              <w:spacing w:after="120" w:line="240" w:lineRule="auto"/>
              <w:ind w:left="459" w:hanging="425"/>
              <w:jc w:val="both"/>
              <w:rPr>
                <w:rFonts w:ascii="Times New Roman" w:hAnsi="Times New Roman"/>
                <w:sz w:val="20"/>
                <w:szCs w:val="20"/>
                <w:lang w:val="en-GB"/>
              </w:rPr>
            </w:pPr>
            <w:r w:rsidRPr="007F5B6A">
              <w:rPr>
                <w:rFonts w:ascii="Times New Roman" w:hAnsi="Times New Roman"/>
                <w:sz w:val="20"/>
                <w:szCs w:val="20"/>
                <w:lang w:val="en-GB"/>
              </w:rPr>
              <w:t>Training for project promoters should be covered under animation and not under running costs of the strategy.</w:t>
            </w:r>
          </w:p>
          <w:p w:rsidR="006D40E7" w:rsidRPr="007F5B6A" w:rsidRDefault="006D40E7" w:rsidP="00975BC8">
            <w:pPr>
              <w:widowControl/>
              <w:numPr>
                <w:ilvl w:val="0"/>
                <w:numId w:val="2"/>
              </w:numPr>
              <w:adjustRightInd/>
              <w:spacing w:after="120" w:line="240" w:lineRule="auto"/>
              <w:ind w:left="459" w:hanging="425"/>
              <w:jc w:val="both"/>
              <w:rPr>
                <w:rFonts w:ascii="Times New Roman" w:hAnsi="Times New Roman"/>
                <w:sz w:val="20"/>
                <w:szCs w:val="20"/>
                <w:lang w:val="en-GB"/>
              </w:rPr>
            </w:pPr>
            <w:r w:rsidRPr="007F5B6A">
              <w:rPr>
                <w:rFonts w:ascii="Times New Roman" w:hAnsi="Times New Roman"/>
                <w:sz w:val="20"/>
                <w:szCs w:val="20"/>
                <w:lang w:val="en-GB"/>
              </w:rPr>
              <w:t>It is not clear what should be funded under the item: "A CLLD strategies (in the case of the LAG, which exploited the preparatory support)" in the framework of running costs.</w:t>
            </w:r>
          </w:p>
          <w:p w:rsidR="006D40E7" w:rsidRPr="007F5B6A" w:rsidRDefault="006D40E7" w:rsidP="00975BC8">
            <w:pPr>
              <w:widowControl/>
              <w:numPr>
                <w:ilvl w:val="0"/>
                <w:numId w:val="2"/>
              </w:numPr>
              <w:adjustRightInd/>
              <w:spacing w:after="120" w:line="240" w:lineRule="auto"/>
              <w:ind w:left="459" w:hanging="425"/>
              <w:jc w:val="both"/>
              <w:rPr>
                <w:rFonts w:ascii="Times New Roman" w:hAnsi="Times New Roman"/>
                <w:sz w:val="20"/>
                <w:szCs w:val="20"/>
                <w:lang w:val="en-GB"/>
              </w:rPr>
            </w:pPr>
            <w:r w:rsidRPr="007F5B6A">
              <w:rPr>
                <w:rFonts w:ascii="Times New Roman" w:hAnsi="Times New Roman"/>
                <w:sz w:val="20"/>
                <w:szCs w:val="20"/>
                <w:lang w:val="en-GB"/>
              </w:rPr>
              <w:t>It should be made clear that the lead fund option will apply only in cases where strategies are funded from both the EAFRD and ERDF.</w:t>
            </w:r>
          </w:p>
          <w:p w:rsidR="006D40E7" w:rsidRPr="007F5B6A" w:rsidRDefault="006D40E7" w:rsidP="00975BC8">
            <w:pPr>
              <w:widowControl/>
              <w:numPr>
                <w:ilvl w:val="0"/>
                <w:numId w:val="2"/>
              </w:numPr>
              <w:adjustRightInd/>
              <w:spacing w:after="120" w:line="240" w:lineRule="auto"/>
              <w:ind w:left="459" w:hanging="425"/>
              <w:jc w:val="both"/>
              <w:rPr>
                <w:rFonts w:ascii="Times New Roman" w:hAnsi="Times New Roman"/>
                <w:sz w:val="20"/>
                <w:szCs w:val="20"/>
                <w:lang w:val="en-GB"/>
              </w:rPr>
            </w:pPr>
            <w:r w:rsidRPr="007F5B6A">
              <w:rPr>
                <w:rFonts w:ascii="Times New Roman" w:hAnsi="Times New Roman"/>
                <w:sz w:val="20"/>
                <w:szCs w:val="20"/>
                <w:lang w:val="en-GB"/>
              </w:rPr>
              <w:t>If the SK authorities intend to set up lower limit for running costs and animation depending on the financial allocation, a clear method should be set up and provided in the RDP. Please justify the limits for animation support. .</w:t>
            </w:r>
          </w:p>
          <w:p w:rsidR="006D40E7" w:rsidRPr="007F5B6A" w:rsidRDefault="006D40E7" w:rsidP="00975BC8">
            <w:pPr>
              <w:widowControl/>
              <w:numPr>
                <w:ilvl w:val="0"/>
                <w:numId w:val="2"/>
              </w:numPr>
              <w:adjustRightInd/>
              <w:spacing w:after="120" w:line="240" w:lineRule="auto"/>
              <w:ind w:left="459" w:hanging="425"/>
              <w:jc w:val="both"/>
              <w:rPr>
                <w:rFonts w:ascii="Times New Roman" w:hAnsi="Times New Roman"/>
                <w:sz w:val="20"/>
                <w:szCs w:val="20"/>
                <w:lang w:val="en-GB"/>
              </w:rPr>
            </w:pPr>
            <w:r w:rsidRPr="007F5B6A">
              <w:rPr>
                <w:rFonts w:ascii="Times New Roman" w:hAnsi="Times New Roman"/>
                <w:sz w:val="20"/>
                <w:szCs w:val="20"/>
                <w:lang w:val="en-GB"/>
              </w:rPr>
              <w:t>A possibility of using simplified cost options (SCO) is mentioned but no reference to assessment of the methodology underlying the SCO is made. The MA should ensure that the SCO are established following a methodology approved by an independent expert.</w:t>
            </w:r>
          </w:p>
          <w:p w:rsidR="006D40E7" w:rsidRPr="007F5B6A" w:rsidRDefault="006D40E7" w:rsidP="00975BC8">
            <w:pPr>
              <w:widowControl/>
              <w:numPr>
                <w:ilvl w:val="0"/>
                <w:numId w:val="2"/>
              </w:numPr>
              <w:adjustRightInd/>
              <w:spacing w:after="120" w:line="240" w:lineRule="auto"/>
              <w:ind w:left="459" w:hanging="425"/>
              <w:jc w:val="both"/>
              <w:rPr>
                <w:rFonts w:ascii="Times New Roman" w:hAnsi="Times New Roman"/>
                <w:sz w:val="20"/>
                <w:szCs w:val="20"/>
                <w:lang w:val="en-GB"/>
              </w:rPr>
            </w:pPr>
            <w:r w:rsidRPr="007F5B6A">
              <w:rPr>
                <w:rFonts w:ascii="Times New Roman" w:hAnsi="Times New Roman"/>
                <w:sz w:val="20"/>
                <w:szCs w:val="20"/>
                <w:lang w:val="en-GB"/>
              </w:rPr>
              <w:t>The information provided under title "Methodology for calculation of the amount or support rate, where relevant" has no relation with calculating running costs and animation. It should be provided in the general description of the measure.</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6D40E7" w:rsidRPr="007F5B6A" w:rsidRDefault="006D40E7" w:rsidP="00975BC8">
            <w:pPr>
              <w:widowControl/>
              <w:numPr>
                <w:ilvl w:val="0"/>
                <w:numId w:val="4"/>
              </w:numPr>
              <w:spacing w:after="120" w:line="240" w:lineRule="auto"/>
              <w:ind w:left="357" w:hanging="357"/>
              <w:rPr>
                <w:rFonts w:ascii="Times New Roman" w:hAnsi="Times New Roman"/>
                <w:sz w:val="20"/>
                <w:szCs w:val="20"/>
                <w:lang w:val="sk-SK"/>
              </w:rPr>
            </w:pPr>
            <w:r w:rsidRPr="007F5B6A">
              <w:rPr>
                <w:rFonts w:ascii="Times New Roman" w:hAnsi="Times New Roman"/>
                <w:sz w:val="20"/>
                <w:szCs w:val="20"/>
                <w:lang w:val="sk-SK"/>
              </w:rPr>
              <w:t>Vzdelávanie potenciálnych prijímateľov je uvedená v rámci animačných nákladov.</w:t>
            </w:r>
          </w:p>
          <w:p w:rsidR="006D40E7" w:rsidRPr="007F5B6A" w:rsidRDefault="006D40E7" w:rsidP="00975BC8">
            <w:pPr>
              <w:widowControl/>
              <w:numPr>
                <w:ilvl w:val="0"/>
                <w:numId w:val="4"/>
              </w:numPr>
              <w:spacing w:after="120" w:line="240" w:lineRule="auto"/>
              <w:ind w:left="357" w:hanging="357"/>
              <w:rPr>
                <w:rFonts w:ascii="Times New Roman" w:hAnsi="Times New Roman"/>
                <w:sz w:val="20"/>
                <w:szCs w:val="20"/>
                <w:lang w:val="sk-SK"/>
              </w:rPr>
            </w:pPr>
            <w:r w:rsidRPr="007F5B6A">
              <w:rPr>
                <w:rFonts w:ascii="Times New Roman" w:hAnsi="Times New Roman"/>
                <w:sz w:val="20"/>
                <w:szCs w:val="20"/>
                <w:lang w:val="sk-SK"/>
              </w:rPr>
              <w:t>Položka vypracovanie stratégie CLLD bola odstránená.</w:t>
            </w:r>
          </w:p>
          <w:p w:rsidR="006D40E7" w:rsidRPr="007F5B6A" w:rsidRDefault="006D40E7" w:rsidP="00975BC8">
            <w:pPr>
              <w:widowControl/>
              <w:numPr>
                <w:ilvl w:val="0"/>
                <w:numId w:val="4"/>
              </w:numPr>
              <w:spacing w:after="120" w:line="240" w:lineRule="auto"/>
              <w:ind w:left="357" w:hanging="357"/>
              <w:rPr>
                <w:rFonts w:ascii="Times New Roman" w:hAnsi="Times New Roman"/>
                <w:sz w:val="20"/>
                <w:szCs w:val="20"/>
                <w:lang w:val="sk-SK"/>
              </w:rPr>
            </w:pPr>
            <w:r w:rsidRPr="007F5B6A">
              <w:rPr>
                <w:rFonts w:ascii="Times New Roman" w:hAnsi="Times New Roman"/>
                <w:sz w:val="20"/>
                <w:szCs w:val="20"/>
                <w:lang w:val="sk-SK"/>
              </w:rPr>
              <w:t xml:space="preserve">z opisu opatrenia vyplýva, že podporené budú stratégie, ktoré budú multifondové, t.z. financované z obidvoch fondov v rámci CLLD. Vzhľadom na nastavenie nástroja CLLD (nastavenie demarkácií medzi fondmi, podpora vidiecko-mestských vzťahov..) považujeme podporu mutlifondových stratégií za najefektívnejší spôsob podpory vyváženého miestneho rozvoja, pričom princíp zdola-nahor týmto nie je potlačený. </w:t>
            </w:r>
          </w:p>
          <w:p w:rsidR="006D40E7" w:rsidRPr="007F5B6A" w:rsidRDefault="006D40E7" w:rsidP="0058530F">
            <w:pPr>
              <w:widowControl/>
              <w:spacing w:after="120" w:line="240" w:lineRule="auto"/>
              <w:ind w:left="357"/>
              <w:rPr>
                <w:rFonts w:ascii="Times New Roman" w:hAnsi="Times New Roman"/>
                <w:sz w:val="20"/>
                <w:szCs w:val="20"/>
                <w:lang w:val="sk-SK"/>
              </w:rPr>
            </w:pPr>
            <w:r w:rsidRPr="007F5B6A">
              <w:rPr>
                <w:rFonts w:ascii="Times New Roman" w:hAnsi="Times New Roman"/>
                <w:sz w:val="20"/>
                <w:szCs w:val="20"/>
                <w:lang w:val="sk-SK"/>
              </w:rPr>
              <w:t>Pre spresnenie informácie sme doplnili text do časti</w:t>
            </w:r>
            <w:r w:rsidRPr="007F5B6A">
              <w:rPr>
                <w:rFonts w:ascii="Times New Roman" w:hAnsi="Times New Roman"/>
                <w:b/>
                <w:i/>
                <w:sz w:val="20"/>
                <w:szCs w:val="20"/>
                <w:lang w:val="sk-SK"/>
              </w:rPr>
              <w:t xml:space="preserve"> </w:t>
            </w:r>
            <w:r w:rsidRPr="007F5B6A">
              <w:rPr>
                <w:rFonts w:ascii="Times New Roman" w:hAnsi="Times New Roman"/>
                <w:sz w:val="20"/>
                <w:szCs w:val="20"/>
                <w:lang w:val="sk-SK"/>
              </w:rPr>
              <w:t xml:space="preserve">„Oprávnené náklady“ v rámci podopatrenia 19.4. </w:t>
            </w:r>
          </w:p>
          <w:p w:rsidR="006D40E7" w:rsidRPr="007F5B6A" w:rsidRDefault="006D40E7" w:rsidP="00975BC8">
            <w:pPr>
              <w:widowControl/>
              <w:numPr>
                <w:ilvl w:val="0"/>
                <w:numId w:val="4"/>
              </w:numPr>
              <w:spacing w:after="0" w:line="240" w:lineRule="auto"/>
              <w:rPr>
                <w:rFonts w:ascii="Times New Roman" w:hAnsi="Times New Roman"/>
                <w:b/>
                <w:i/>
                <w:sz w:val="20"/>
                <w:szCs w:val="20"/>
                <w:lang w:val="sk-SK"/>
              </w:rPr>
            </w:pPr>
            <w:r w:rsidRPr="007F5B6A">
              <w:rPr>
                <w:rFonts w:ascii="Times New Roman" w:hAnsi="Times New Roman"/>
                <w:sz w:val="20"/>
                <w:szCs w:val="20"/>
                <w:lang w:val="sk-SK"/>
              </w:rPr>
              <w:t>Text v časti „(Uplatniteľné) sumy a miery podpory“ bol upravený.</w:t>
            </w:r>
          </w:p>
          <w:p w:rsidR="006D40E7" w:rsidRPr="007F5B6A" w:rsidRDefault="006D40E7" w:rsidP="0058530F">
            <w:pPr>
              <w:widowControl/>
              <w:spacing w:after="120" w:line="240" w:lineRule="auto"/>
              <w:ind w:left="357"/>
              <w:rPr>
                <w:rFonts w:ascii="Times New Roman" w:hAnsi="Times New Roman"/>
                <w:sz w:val="20"/>
                <w:szCs w:val="20"/>
                <w:lang w:val="sk-SK"/>
              </w:rPr>
            </w:pPr>
            <w:r w:rsidRPr="007F5B6A">
              <w:rPr>
                <w:rFonts w:ascii="Times New Roman" w:hAnsi="Times New Roman"/>
                <w:sz w:val="20"/>
                <w:szCs w:val="20"/>
                <w:lang w:val="sk-SK"/>
              </w:rPr>
              <w:t>Pokiaľ ide o stanovenie limitu pre animačné náklady, ten bol stanovený v nadväznosti na skúsenosti z obdobia 07-13, kedy limit bol 20 % a neskôr modifikáciou PRV znížený na 15%, horný limit je stanovený z dôvodu, aby bolo možné určiť indikatívne alokácie v rámci podopatrenia 19.4 resp. v rámci príslušného špecifického cieľa v IROP, keďže na financovaní prevádzkových nákladov a animácií sa zúčastňujú oba fondy.</w:t>
            </w:r>
          </w:p>
          <w:p w:rsidR="006D40E7" w:rsidRPr="007F5B6A" w:rsidRDefault="006D40E7" w:rsidP="00975BC8">
            <w:pPr>
              <w:widowControl/>
              <w:numPr>
                <w:ilvl w:val="0"/>
                <w:numId w:val="4"/>
              </w:numPr>
              <w:spacing w:after="120" w:line="240" w:lineRule="auto"/>
              <w:ind w:left="357" w:hanging="357"/>
              <w:rPr>
                <w:rFonts w:ascii="Times New Roman" w:hAnsi="Times New Roman"/>
                <w:b/>
                <w:sz w:val="20"/>
                <w:szCs w:val="20"/>
                <w:lang w:val="sk-SK"/>
              </w:rPr>
            </w:pPr>
            <w:r w:rsidRPr="007F5B6A">
              <w:rPr>
                <w:rFonts w:ascii="Times New Roman" w:hAnsi="Times New Roman"/>
                <w:sz w:val="20"/>
                <w:szCs w:val="20"/>
                <w:lang w:val="sk-SK"/>
              </w:rPr>
              <w:t>V časti „Metodika výpočtu sumy alebo miery podpory“ bol doplnený text  ohľadom využívania a výpočtov paušálnej sadzby.</w:t>
            </w:r>
          </w:p>
          <w:p w:rsidR="006D40E7" w:rsidRPr="007F5B6A" w:rsidRDefault="006D40E7" w:rsidP="00975BC8">
            <w:pPr>
              <w:widowControl/>
              <w:numPr>
                <w:ilvl w:val="0"/>
                <w:numId w:val="4"/>
              </w:numPr>
              <w:spacing w:after="0" w:line="240" w:lineRule="auto"/>
              <w:rPr>
                <w:rFonts w:ascii="Times New Roman" w:hAnsi="Times New Roman"/>
                <w:b/>
                <w:sz w:val="20"/>
                <w:szCs w:val="20"/>
                <w:lang w:val="sk-SK"/>
              </w:rPr>
            </w:pPr>
            <w:r w:rsidRPr="007F5B6A">
              <w:rPr>
                <w:rFonts w:ascii="Times New Roman" w:hAnsi="Times New Roman"/>
                <w:sz w:val="20"/>
                <w:szCs w:val="20"/>
                <w:lang w:val="sk-SK"/>
              </w:rPr>
              <w:t>V časti „Metodika výpočtu sumy alebo miery podpory“ bol text odstránený a nahradený relevantným.</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326.</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Evaluation plan (Section 9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further develop the objectives of the described evaluation plan to ensure that the appropriate evaluation activities are undertaken.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160DB"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Akceptované, ciele boli doplnené.</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327.</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also develop further the mechanisms established to follow-up the use of evaluation results. The current statement is too general.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D877A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Bolo prepracované do textu kapitoly v zmysle pripomienky.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328.</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description of the coordination should be improved. The role of the steering committee proposed under the NRN structure which should help the evaluation process should be better described under this chapter.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D877AC"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Bolo prepracované do textu kapitoly v zmysle pripomienky.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329.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An analysis of net effect, climate change, contribution of LDS and planned support at LAG level should be included under the evaluation of topics and activities.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877A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Relevantné analýzy b</w:t>
            </w:r>
            <w:r w:rsidR="00D877AC" w:rsidRPr="007F5B6A">
              <w:rPr>
                <w:rFonts w:ascii="Times New Roman" w:hAnsi="Times New Roman"/>
                <w:sz w:val="20"/>
                <w:szCs w:val="20"/>
                <w:lang w:val="sk-SK"/>
              </w:rPr>
              <w:t>oli</w:t>
            </w:r>
            <w:r w:rsidRPr="007F5B6A">
              <w:rPr>
                <w:rFonts w:ascii="Times New Roman" w:hAnsi="Times New Roman"/>
                <w:sz w:val="20"/>
                <w:szCs w:val="20"/>
                <w:lang w:val="sk-SK"/>
              </w:rPr>
              <w:t xml:space="preserve"> doplnené. Vzťahy a úloha NSRV </w:t>
            </w:r>
            <w:r w:rsidR="00D877AC" w:rsidRPr="007F5B6A">
              <w:rPr>
                <w:rFonts w:ascii="Times New Roman" w:hAnsi="Times New Roman"/>
                <w:sz w:val="20"/>
                <w:szCs w:val="20"/>
                <w:lang w:val="sk-SK"/>
              </w:rPr>
              <w:t>s</w:t>
            </w:r>
            <w:r w:rsidRPr="007F5B6A">
              <w:rPr>
                <w:rFonts w:ascii="Times New Roman" w:hAnsi="Times New Roman"/>
                <w:sz w:val="20"/>
                <w:szCs w:val="20"/>
                <w:lang w:val="sk-SK"/>
              </w:rPr>
              <w:t>ú vysvetlené</w:t>
            </w:r>
            <w:r w:rsidR="00D877AC" w:rsidRPr="007F5B6A">
              <w:rPr>
                <w:rFonts w:ascii="Times New Roman" w:hAnsi="Times New Roman"/>
                <w:sz w:val="20"/>
                <w:szCs w:val="20"/>
                <w:lang w:val="sk-SK"/>
              </w:rPr>
              <w:t xml:space="preserve"> v EP</w:t>
            </w:r>
            <w:r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330.</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IACS functionality for providing appropriate information for monitoring and evaluation purposes, lacking in 2007 – 2013, is proposed to be fixed in 2016. The SK authorities should explain how the necessary info will be provided from the beginning of the implementation of RDP 2014 - 2020.</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D877AC"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V programovom období 2007 – 2013 sa pre účely monitoringu Osi II vychádzalo vždy z údajov IACS. Databáza údajov v IACS bola dostatočná, problém vznikol na začiatku programového obdobia, keď neboli k dispozícii dostatočné výstupy z dostupných údajov pre účely monitoringu. Táto oblasť bola do systému IACS dopracovaná a podklady pre účely monitoringu sú v súčasnosti k dispozícii zo systému IACS. Pre nové programové obdobie sa mení monitoring podpôr realizovaných v systéme IACS. Tento nový spôsob monitoringu bude v systéme IACS implementovaný tak, aby od začiatku boli k dispozícii požadované výstupy. Na príprave monitorovacích výstupov z IACS sa začnú práce hneď ako budú jasné požiadavky EK a ostatné požiadavky spracovateľov monitorovacích správ. Výstupy budú vychádzať z informácií získaných od žiadateľov na základe príslušnej legislatívy a z následného administrovania žiadostí v systéme IACS.</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An indicative outline of the timing needed to ensure that the evaluation results are available at the appropriate time should be included in the RDP. </w:t>
            </w:r>
          </w:p>
        </w:tc>
        <w:tc>
          <w:tcPr>
            <w:tcW w:w="296" w:type="pct"/>
            <w:shd w:val="clear" w:color="auto" w:fill="FFFFFF" w:themeFill="background1"/>
            <w:vAlign w:val="center"/>
          </w:tcPr>
          <w:p w:rsidR="006D40E7" w:rsidRPr="007F5B6A" w:rsidRDefault="00D877AC" w:rsidP="00D877A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6536FB">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Indikatívny časový harmonogram je v PRV uvedený</w:t>
            </w:r>
            <w:r w:rsidR="006536FB" w:rsidRPr="007F5B6A">
              <w:rPr>
                <w:rFonts w:ascii="Times New Roman" w:hAnsi="Times New Roman"/>
                <w:sz w:val="20"/>
                <w:szCs w:val="20"/>
                <w:lang w:val="sk-SK"/>
              </w:rPr>
              <w:t>, viď samotný text kapitoly</w:t>
            </w:r>
            <w:r w:rsidRPr="007F5B6A">
              <w:rPr>
                <w:rFonts w:ascii="Times New Roman" w:hAnsi="Times New Roman"/>
                <w:sz w:val="20"/>
                <w:szCs w:val="20"/>
                <w:lang w:val="sk-SK"/>
              </w:rPr>
              <w:t xml:space="preserve">.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332.</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information and training activities for increasing the capacity building on the side of stakeholders should be also included. This could be financed from TA. </w:t>
            </w:r>
          </w:p>
        </w:tc>
        <w:tc>
          <w:tcPr>
            <w:tcW w:w="296" w:type="pct"/>
            <w:shd w:val="clear" w:color="auto" w:fill="FFFFFF" w:themeFill="background1"/>
            <w:vAlign w:val="center"/>
          </w:tcPr>
          <w:p w:rsidR="006D40E7" w:rsidRPr="007F5B6A" w:rsidRDefault="00D877AC"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877A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Informačné aktivity a školenia realizované pod opatrením TA </w:t>
            </w:r>
            <w:r w:rsidR="00D877AC" w:rsidRPr="007F5B6A">
              <w:rPr>
                <w:rFonts w:ascii="Times New Roman" w:hAnsi="Times New Roman"/>
                <w:sz w:val="20"/>
                <w:szCs w:val="20"/>
                <w:lang w:val="sk-SK"/>
              </w:rPr>
              <w:t xml:space="preserve">boli doplnené a </w:t>
            </w:r>
            <w:r w:rsidRPr="007F5B6A">
              <w:rPr>
                <w:rFonts w:ascii="Times New Roman" w:hAnsi="Times New Roman"/>
                <w:sz w:val="20"/>
                <w:szCs w:val="20"/>
                <w:lang w:val="sk-SK"/>
              </w:rPr>
              <w:t xml:space="preserve">budú </w:t>
            </w:r>
            <w:r w:rsidR="00D877AC" w:rsidRPr="007F5B6A">
              <w:rPr>
                <w:rFonts w:ascii="Times New Roman" w:hAnsi="Times New Roman"/>
                <w:sz w:val="20"/>
                <w:szCs w:val="20"/>
                <w:lang w:val="sk-SK"/>
              </w:rPr>
              <w:t xml:space="preserve">sa </w:t>
            </w:r>
            <w:r w:rsidRPr="007F5B6A">
              <w:rPr>
                <w:rFonts w:ascii="Times New Roman" w:hAnsi="Times New Roman"/>
                <w:sz w:val="20"/>
                <w:szCs w:val="20"/>
                <w:lang w:val="sk-SK"/>
              </w:rPr>
              <w:t>vyhodnocovať samostatne.</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333.</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Financing plan (Section 10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programmed amounts per measure/priority and also the performance reserve amounts should be rounded to euro.</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ČA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Bolo upravené s výnimkou výkonnostnej rezervy, ktorej hodnota podľa SFC 2014 a po konzultáciách s EK musí byť presných výpočtom 6% daného ročného záväzku, a preto zostáva bez zaokrúhlenia.</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334.</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Indicator plan (Section 11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Slovakia should provide specific tables A1 and A2 (template available in the excel indicator plan) concerning the detailed calculation of the targets of priorities in accordance with Articles 5(4) and 5(5)(d) and (e) of Regulation (EU) No 1305/2013.</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877AC">
            <w:pPr>
              <w:spacing w:after="0" w:line="240" w:lineRule="auto"/>
              <w:rPr>
                <w:rFonts w:ascii="Times New Roman" w:hAnsi="Times New Roman"/>
                <w:b/>
                <w:sz w:val="20"/>
                <w:szCs w:val="20"/>
                <w:lang w:val="sk-SK"/>
              </w:rPr>
            </w:pPr>
            <w:r w:rsidRPr="007F5B6A">
              <w:rPr>
                <w:rFonts w:ascii="Times New Roman" w:hAnsi="Times New Roman"/>
                <w:sz w:val="20"/>
                <w:szCs w:val="20"/>
                <w:lang w:val="sk-SK"/>
              </w:rPr>
              <w:t>Tabuľky b</w:t>
            </w:r>
            <w:r w:rsidR="00D877AC" w:rsidRPr="007F5B6A">
              <w:rPr>
                <w:rFonts w:ascii="Times New Roman" w:hAnsi="Times New Roman"/>
                <w:sz w:val="20"/>
                <w:szCs w:val="20"/>
                <w:lang w:val="sk-SK"/>
              </w:rPr>
              <w:t>oli</w:t>
            </w:r>
            <w:r w:rsidRPr="007F5B6A">
              <w:rPr>
                <w:rFonts w:ascii="Times New Roman" w:hAnsi="Times New Roman"/>
                <w:sz w:val="20"/>
                <w:szCs w:val="20"/>
                <w:lang w:val="sk-SK"/>
              </w:rPr>
              <w:t xml:space="preserve"> doplnené.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also provide a specific table (table A3 "Contribution to other Focus Areas"), required for priority 4 in Annex VII of the guidelines for strategic programming 2014-2020.</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877A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Tabuľk</w:t>
            </w:r>
            <w:r w:rsidR="00D877AC" w:rsidRPr="007F5B6A">
              <w:rPr>
                <w:rFonts w:ascii="Times New Roman" w:hAnsi="Times New Roman"/>
                <w:sz w:val="20"/>
                <w:szCs w:val="20"/>
                <w:lang w:val="sk-SK"/>
              </w:rPr>
              <w:t xml:space="preserve">a bola </w:t>
            </w:r>
            <w:r w:rsidRPr="007F5B6A">
              <w:rPr>
                <w:rFonts w:ascii="Times New Roman" w:hAnsi="Times New Roman"/>
                <w:sz w:val="20"/>
                <w:szCs w:val="20"/>
                <w:lang w:val="sk-SK"/>
              </w:rPr>
              <w:t>doplnen</w:t>
            </w:r>
            <w:r w:rsidR="00D877AC" w:rsidRPr="007F5B6A">
              <w:rPr>
                <w:rFonts w:ascii="Times New Roman" w:hAnsi="Times New Roman"/>
                <w:sz w:val="20"/>
                <w:szCs w:val="20"/>
                <w:lang w:val="sk-SK"/>
              </w:rPr>
              <w:t>á</w:t>
            </w:r>
            <w:r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336.</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difference between figures in financial tables for M04 and M08 and indicator plan should be checked (M04/P4 and M08/P2 are missing in section 11). The output expected for M8.3 should be indicated. </w:t>
            </w:r>
          </w:p>
        </w:tc>
        <w:tc>
          <w:tcPr>
            <w:tcW w:w="296" w:type="pct"/>
            <w:shd w:val="clear" w:color="auto" w:fill="FFFFFF" w:themeFill="background1"/>
            <w:vAlign w:val="center"/>
          </w:tcPr>
          <w:p w:rsidR="006D40E7" w:rsidRPr="007F5B6A" w:rsidRDefault="00D877AC" w:rsidP="001E6171">
            <w:pPr>
              <w:widowControl/>
              <w:spacing w:after="0" w:line="240" w:lineRule="auto"/>
              <w:jc w:val="center"/>
              <w:rPr>
                <w:rFonts w:ascii="Times New Roman" w:hAnsi="Times New Roman"/>
                <w:sz w:val="20"/>
                <w:szCs w:val="20"/>
                <w:lang w:val="sk-SK"/>
              </w:rPr>
            </w:pPr>
            <w:r w:rsidRPr="007F5B6A">
              <w:rPr>
                <w:rFonts w:ascii="Times New Roman" w:hAnsi="Times New Roman"/>
                <w:sz w:val="20"/>
                <w:szCs w:val="20"/>
                <w:lang w:val="sk-SK"/>
              </w:rPr>
              <w:t>A</w:t>
            </w:r>
          </w:p>
        </w:tc>
        <w:tc>
          <w:tcPr>
            <w:tcW w:w="1506" w:type="pct"/>
            <w:shd w:val="clear" w:color="auto" w:fill="FFFFFF" w:themeFill="background1"/>
            <w:vAlign w:val="center"/>
          </w:tcPr>
          <w:p w:rsidR="006D40E7" w:rsidRPr="007F5B6A" w:rsidRDefault="00D877AC" w:rsidP="00D877A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Hodnoty (M04/P4 a M08/P2) boli skontrolované. Hodnota 8.3 bola doplnená.</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337.</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Additional national financing (Section 12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No additional national financing is foreseen for measures falling under the scope of Article 42 of the Treaty. Slovakia should exclude from this section the support for measures which are falling outside of Article 42.  </w:t>
            </w:r>
          </w:p>
        </w:tc>
        <w:tc>
          <w:tcPr>
            <w:tcW w:w="296" w:type="pct"/>
            <w:shd w:val="clear" w:color="auto" w:fill="FFFFFF" w:themeFill="background1"/>
            <w:vAlign w:val="center"/>
          </w:tcPr>
          <w:p w:rsidR="006D40E7" w:rsidRPr="007F5B6A" w:rsidRDefault="00B4154A" w:rsidP="00B4154A">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N</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Vyhodnotenie: ide o technický problém súvisiaci s SFC.</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338.</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Elements needed for state aid assessment (Section 13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Commission services draw the attention of Slovakia to the fact that the Decision approving the rural development programme is without prejudice to the Commission's position regarding compliance of any operation, falling within the scope of Article 81 of Regulation (EU) No 1305/2013, supported under that programme with the procedural and substantive State aid rules applicable at the time when the support is granted. This includes compliance with the incentive effect requirement of the applicable State aid rules.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SR si je vedomá povinností vyplývajúcich z článku 81 nariadenia č. 1305/2013 a aj ustanovení o stimulačnom účinku. V rámci jednotlivých opatrení boli zároveň spresnené informácie o legislatíve vzťahujúcej sa na pravidlá o štátnej pomoci a vzhľadom na vývoj legislatívy v tejto oblasti boli upravené aj miery financovania pre podopatrenia 4.2 a 6.4, ktoré sú zosúladené s mapou regionálnej pomoci pre štátnu pomoc.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339.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granting of State aid falling within the scope of Article 107(1) TFEU, granted under aid schemes or in individual cases, requires prior approval by the Commission under Article 108(3) TFEU, except where the aid is exempted under an exemption regulation adopted by the Commission under Council Regulation (EC) No 994/98 of 7 May 1998 on the application of Articles 92 and 93 to certain categories of horizontal aid and its amendments  or under Commission Decision of 20 December 2011 on the application of Article 106(2) of the Treaty on the Functioning of the European Union to State aid in the form of public service compensation granted to certain undertakings entrusted with the operation of services of general economic interest  or granted as general de minimis aid. Slovakia has the responsibility to introduce the adequate State aid clearance references in the State aid table of the rural development programme by way of a programme modification request to be submitted as soon as those references are known.</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RO  berie na vedomie povinnosť revidovať tabuľku o štátnej pomoci, po schválení jednotlivých schém pomoci požiadaním o zmenu PRV.</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340.</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Slovak authorities should also verify that the amounts concerning all the other measures (i.e. those which include both Article 42 and non-Article 42 activities) are only earmarked for non-Article 42 activities and do not cover the whole measure (i.e. also the Article 42 activities).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F32F97">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Pokiaľ ide o opatrenia v rámci, ktorých sú zároveň podporované činnosti spadajúce do pôsobnosti čl. 42 ZFEÚ, ako aj činnosti mimo čl. 42 ZFEÚ, finančné alokácie boli upravené.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measures M05, M10, M11, M13, M14 and M17 falling within the scope of Article 42 should not be listed in Chapter 13. These should be corrected.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Opatrenia boli vygenerované resp. nahrané  systémom SFC, ktorý vyžadoval zadanie textu pred odoslaním, kde RO v rámci týchto opatrení uviedol, že na dané opatrenia sa pravidlá o štátnej pomoci a pomoci de minimis nevzťahujú.</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342.</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According to the RDP, the LEADER activities supported under M19 will follow the existing State aid schemes. However, the Slovak authorities should indicate how the State aid clearance will be obtained for those activities which do not fall within the scope of any of the aid scheme in place. It is recalled that the compatibility with State aid rules must be ensured over the entire life cycle of the programme.</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 časti opatrenia LEADER bol doplnený text „</w:t>
            </w:r>
            <w:r w:rsidRPr="007F5B6A">
              <w:rPr>
                <w:rFonts w:ascii="Times New Roman" w:hAnsi="Times New Roman"/>
                <w:i/>
                <w:sz w:val="20"/>
                <w:szCs w:val="20"/>
                <w:lang w:val="sk-SK"/>
              </w:rPr>
              <w:t>V prípade, že si MAS v rámci svojej stratégií CLLD zvolí podporu činností, ktoré nespadajú do rozsahu opatrení PRV SR 2014-2020, na ktoré sú schválené schémy štátnej pomoci alebo pomoci de minimis a na tieto činnosti sa vzťahujú pravidlá štátnej pomoci alebo pomoci de minimis, pre tieto činnosti resp. opatrenia, budú vypracované samostatné schémy štátnej pomoci resp. pomoci de minimis</w:t>
            </w:r>
            <w:r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343.</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Information on complementarity (Section 14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complementarity mechanisms with other ESI Funds are not sufficiently developed. Slovakia should add this information in line with the PA including how the complementary mechanisms will be followed-up and reported, in particular as regards complementarities and synergies with other OPs, RIS strategy and Roma strategy. Here are some remarks:  </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 xml:space="preserve">Under TO1, high complementarity, cooperation and synergies should be sought between the RDP and the OP Research &amp; Innovation as regards research and education organizations, including support to transfer of knowledge and technologies. </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Under TO1, the RDP should more clearly reflect the complementarity with the IROP for the different grounds of intervention.</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The RDP 2014-2020 refers to need of ICT/Broadband development in Slovakia roughly, but does not specify the complementary activity with the OP Integrated Infrastructure for broadband deployment in rural areas (last mile connections), timetable/conditionality.</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 xml:space="preserve">Moreover, under the complementarity with IROP the indicated text seems to be relevant </w:t>
            </w:r>
            <w:r w:rsidR="00123907" w:rsidRPr="007F5B6A">
              <w:rPr>
                <w:rFonts w:ascii="Times New Roman" w:hAnsi="Times New Roman"/>
                <w:sz w:val="20"/>
                <w:szCs w:val="20"/>
                <w:lang w:val="en-GB"/>
              </w:rPr>
              <w:t>for OP</w:t>
            </w:r>
            <w:r w:rsidRPr="007F5B6A">
              <w:rPr>
                <w:rFonts w:ascii="Times New Roman" w:hAnsi="Times New Roman"/>
                <w:sz w:val="20"/>
                <w:szCs w:val="20"/>
                <w:lang w:val="en-GB"/>
              </w:rPr>
              <w:t xml:space="preserve"> Research and Innovation and not IROP - the MA should check and correct accordingly. </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Under TO4, the complementarity and synergies with the OP Quality of the Environment should be more explicit and better elaborated.</w:t>
            </w:r>
          </w:p>
          <w:p w:rsidR="006D40E7" w:rsidRPr="007F5B6A" w:rsidRDefault="006D40E7" w:rsidP="00975BC8">
            <w:pPr>
              <w:widowControl/>
              <w:numPr>
                <w:ilvl w:val="0"/>
                <w:numId w:val="1"/>
              </w:numPr>
              <w:tabs>
                <w:tab w:val="left" w:pos="317"/>
              </w:tabs>
              <w:adjustRightInd/>
              <w:spacing w:after="0" w:line="240" w:lineRule="auto"/>
              <w:ind w:left="317" w:hanging="284"/>
              <w:jc w:val="both"/>
              <w:rPr>
                <w:rFonts w:ascii="Times New Roman" w:hAnsi="Times New Roman"/>
                <w:sz w:val="20"/>
                <w:szCs w:val="20"/>
                <w:lang w:val="en-GB"/>
              </w:rPr>
            </w:pPr>
            <w:r w:rsidRPr="007F5B6A">
              <w:rPr>
                <w:rFonts w:ascii="Times New Roman" w:hAnsi="Times New Roman"/>
                <w:sz w:val="20"/>
                <w:szCs w:val="20"/>
                <w:lang w:val="en-GB"/>
              </w:rPr>
              <w:t>Description of synergy and complementarity in the area of TO8 OP Human resources should be added.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Bol doplnený text k Doplnkovosti medzi PRV SR 2014 – 2020 a ostatnými nástrojmi podpory</w:t>
            </w:r>
            <w:r w:rsidR="003E7AC2" w:rsidRPr="007F5B6A">
              <w:rPr>
                <w:rFonts w:ascii="Times New Roman" w:hAnsi="Times New Roman"/>
                <w:sz w:val="20"/>
                <w:szCs w:val="20"/>
                <w:lang w:val="sk-SK"/>
              </w:rPr>
              <w:t>, ktorá</w:t>
            </w:r>
            <w:r w:rsidRPr="007F5B6A">
              <w:rPr>
                <w:rFonts w:ascii="Times New Roman" w:hAnsi="Times New Roman"/>
                <w:sz w:val="20"/>
                <w:szCs w:val="20"/>
                <w:lang w:val="sk-SK"/>
              </w:rPr>
              <w:t xml:space="preserve"> bude zabezpečovan</w:t>
            </w:r>
            <w:r w:rsidR="003E7AC2" w:rsidRPr="007F5B6A">
              <w:rPr>
                <w:rFonts w:ascii="Times New Roman" w:hAnsi="Times New Roman"/>
                <w:sz w:val="20"/>
                <w:szCs w:val="20"/>
                <w:lang w:val="sk-SK"/>
              </w:rPr>
              <w:t>á</w:t>
            </w:r>
            <w:r w:rsidRPr="007F5B6A">
              <w:rPr>
                <w:rFonts w:ascii="Times New Roman" w:hAnsi="Times New Roman"/>
                <w:sz w:val="20"/>
                <w:szCs w:val="20"/>
                <w:lang w:val="sk-SK"/>
              </w:rPr>
              <w:t xml:space="preserve"> opatreniami na programovej a projektovej úrovni.</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344.</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A more detailed description has to be provided of complementarity/coherence with the other CAP instruments (e.g. direct payments including coupled payments, greening, young farmer scheme, amongst others-, wine, sugar, cotton, fruit and vegetables CMOs, POSEI, promotion policy). Slovakia should define the complementarity mechanisms with the other CAP instruments in practice and describe how the relevant mechanisms will be followed-up and reported.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Doplnkovosť s I. pilierom a ostatnými nástrojmi SPP</w:t>
            </w:r>
            <w:r w:rsidR="00A568FC" w:rsidRPr="007F5B6A">
              <w:rPr>
                <w:rFonts w:ascii="Times New Roman" w:hAnsi="Times New Roman"/>
                <w:sz w:val="20"/>
                <w:szCs w:val="20"/>
                <w:lang w:val="sk-SK"/>
              </w:rPr>
              <w:t xml:space="preserve"> bola doplnená do textu.</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A description of complementarity/coherence with the other union instruments (e.g. Horizon 2020, LIFE+ etc.) should be added.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88195C">
            <w:pPr>
              <w:spacing w:after="0" w:line="240" w:lineRule="auto"/>
              <w:rPr>
                <w:rFonts w:ascii="Times New Roman" w:hAnsi="Times New Roman"/>
                <w:b/>
                <w:sz w:val="20"/>
                <w:szCs w:val="20"/>
                <w:lang w:val="sk-SK"/>
              </w:rPr>
            </w:pPr>
            <w:bookmarkStart w:id="1" w:name="_Toc256000185"/>
            <w:r w:rsidRPr="007F5B6A">
              <w:rPr>
                <w:rFonts w:ascii="Times New Roman" w:hAnsi="Times New Roman"/>
                <w:sz w:val="20"/>
                <w:szCs w:val="20"/>
                <w:lang w:val="sk-SK"/>
              </w:rPr>
              <w:t>Doplnkovosť s ostatnými nástrojmi EÚ – LIFE+, Horizont 2020</w:t>
            </w:r>
            <w:r w:rsidR="00A568FC" w:rsidRPr="007F5B6A">
              <w:rPr>
                <w:rFonts w:ascii="Times New Roman" w:hAnsi="Times New Roman"/>
                <w:sz w:val="20"/>
                <w:szCs w:val="20"/>
                <w:lang w:val="sk-SK"/>
              </w:rPr>
              <w:t xml:space="preserve"> bola doplnená do textu</w:t>
            </w:r>
            <w:r w:rsidRPr="007F5B6A">
              <w:rPr>
                <w:rFonts w:ascii="Times New Roman" w:hAnsi="Times New Roman"/>
                <w:sz w:val="20"/>
                <w:szCs w:val="20"/>
                <w:lang w:val="sk-SK"/>
              </w:rPr>
              <w:t>.</w:t>
            </w:r>
            <w:bookmarkEnd w:id="1"/>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346.</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Programme implementing arrangements (Section 15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MA functions which will be delegated to other bodies should be identified. Otherwise, Slovakia should confirm that all the functions in Art. 66 will be carried out by the MA.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907C8A">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Doplnený text „</w:t>
            </w:r>
            <w:r w:rsidRPr="007F5B6A">
              <w:rPr>
                <w:rFonts w:ascii="Times New Roman" w:hAnsi="Times New Roman"/>
                <w:i/>
                <w:sz w:val="20"/>
                <w:szCs w:val="20"/>
                <w:lang w:val="sk-SK"/>
              </w:rPr>
              <w:t>RO bude vykonávať všetky funkcie stanovené v čl. 66 nariadenia EP a Rady (EÚ) č.1305/2013</w:t>
            </w:r>
            <w:r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347.</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RDP refers to an audit to be carried out to describe the need for administrative capacities. It should be indicated when the audit will be available and that the results are included in the revised version of the RDP.</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123907">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RO si je vedomý zabezpečenia primeraných administratívnych kapacít najmä pre nové programové obdobie. Audit administratívnych kapacít bol obstaraný v zmysle platného </w:t>
            </w:r>
            <w:r w:rsidR="00123907" w:rsidRPr="007F5B6A">
              <w:rPr>
                <w:rFonts w:ascii="Times New Roman" w:hAnsi="Times New Roman"/>
                <w:sz w:val="20"/>
                <w:szCs w:val="20"/>
                <w:lang w:val="sk-SK"/>
              </w:rPr>
              <w:t>z</w:t>
            </w:r>
            <w:r w:rsidRPr="007F5B6A">
              <w:rPr>
                <w:rFonts w:ascii="Times New Roman" w:hAnsi="Times New Roman"/>
                <w:sz w:val="20"/>
                <w:szCs w:val="20"/>
                <w:lang w:val="sk-SK"/>
              </w:rPr>
              <w:t xml:space="preserve">ákona o verejnom obstarávaní č. 25/2005, riadne vysúťažený a momentálne jeho realizácia prebieha. Jeho výsledky budú známe najneskôr 31. 12. 2014.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348.</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Arrangements for the independent examination and resolution of complaints, as required by Article 74(3) of Regulation (EU) No 1303/2013 should be provided. The text mistakenly refers to fraud cases and OLAF institution, which is rather also part of management and control systems.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Uvedený text bol revidovaný a upravený.</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349.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envisaged composition of the Monitoring Committee should be indicated.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5A7F0E">
            <w:pPr>
              <w:widowControl/>
              <w:spacing w:after="0" w:line="240" w:lineRule="auto"/>
              <w:rPr>
                <w:rFonts w:ascii="Times New Roman" w:hAnsi="Times New Roman"/>
                <w:sz w:val="20"/>
                <w:szCs w:val="20"/>
                <w:lang w:val="sk-SK"/>
              </w:rPr>
            </w:pPr>
            <w:r w:rsidRPr="007F5B6A">
              <w:rPr>
                <w:rFonts w:ascii="Times New Roman" w:hAnsi="Times New Roman"/>
                <w:bCs/>
                <w:sz w:val="20"/>
                <w:szCs w:val="20"/>
                <w:lang w:val="sk-SK"/>
              </w:rPr>
              <w:t>Text o zložení monitorovacieho výboru b</w:t>
            </w:r>
            <w:r w:rsidR="005A7F0E" w:rsidRPr="007F5B6A">
              <w:rPr>
                <w:rFonts w:ascii="Times New Roman" w:hAnsi="Times New Roman"/>
                <w:bCs/>
                <w:sz w:val="20"/>
                <w:szCs w:val="20"/>
                <w:lang w:val="sk-SK"/>
              </w:rPr>
              <w:t>ol</w:t>
            </w:r>
            <w:r w:rsidRPr="007F5B6A">
              <w:rPr>
                <w:rFonts w:ascii="Times New Roman" w:hAnsi="Times New Roman"/>
                <w:bCs/>
                <w:sz w:val="20"/>
                <w:szCs w:val="20"/>
                <w:lang w:val="sk-SK"/>
              </w:rPr>
              <w:t xml:space="preserve"> upravený.</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350.</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provide a more detailed description of actions to reduce the administrative burden as indicated under section 2 of the PA and how it will be monitored, e.g. and also indicate when the e-government will be available for beneficiaries, actions which will tackle the delays in the assessment of projects, processing payments etc. </w:t>
            </w:r>
          </w:p>
        </w:tc>
        <w:tc>
          <w:tcPr>
            <w:tcW w:w="296" w:type="pct"/>
            <w:shd w:val="clear" w:color="auto" w:fill="FFFFFF" w:themeFill="background1"/>
            <w:vAlign w:val="center"/>
          </w:tcPr>
          <w:p w:rsidR="006D40E7" w:rsidRPr="007F5B6A" w:rsidRDefault="002D4505"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5A63E6" w:rsidRPr="007F5B6A" w:rsidRDefault="005A63E6" w:rsidP="008946EC">
            <w:pPr>
              <w:rPr>
                <w:rFonts w:ascii="Times New Roman" w:hAnsi="Times New Roman"/>
                <w:sz w:val="20"/>
                <w:szCs w:val="20"/>
                <w:lang w:val="sk-SK"/>
              </w:rPr>
            </w:pPr>
            <w:r w:rsidRPr="007F5B6A">
              <w:rPr>
                <w:rFonts w:ascii="Times New Roman" w:hAnsi="Times New Roman"/>
                <w:sz w:val="20"/>
                <w:szCs w:val="20"/>
                <w:lang w:val="sk-SK"/>
              </w:rPr>
              <w:t>Text v kapitole 15.5. bol upravený nasledovne:</w:t>
            </w:r>
          </w:p>
          <w:p w:rsidR="008946EC" w:rsidRPr="007F5B6A" w:rsidRDefault="008946EC" w:rsidP="008946EC">
            <w:pPr>
              <w:rPr>
                <w:rFonts w:ascii="Times New Roman" w:hAnsi="Times New Roman"/>
                <w:sz w:val="20"/>
                <w:szCs w:val="20"/>
                <w:lang w:val="sk-SK"/>
              </w:rPr>
            </w:pPr>
            <w:r w:rsidRPr="007F5B6A">
              <w:rPr>
                <w:rFonts w:ascii="Times New Roman" w:hAnsi="Times New Roman"/>
                <w:sz w:val="20"/>
                <w:szCs w:val="20"/>
                <w:lang w:val="sk-SK"/>
              </w:rPr>
              <w:t>Aktivity na zníženie administratívnej záťaže žiadateľa a zrýchlenie administratívnych procesov na PPA:</w:t>
            </w:r>
          </w:p>
          <w:p w:rsidR="008946EC" w:rsidRPr="007F5B6A" w:rsidRDefault="008946EC" w:rsidP="005A63E6">
            <w:pPr>
              <w:pStyle w:val="Odsekzoznamu"/>
              <w:numPr>
                <w:ilvl w:val="0"/>
                <w:numId w:val="12"/>
              </w:numPr>
              <w:spacing w:after="120" w:line="240" w:lineRule="auto"/>
              <w:ind w:left="317" w:hanging="283"/>
              <w:contextualSpacing w:val="0"/>
              <w:rPr>
                <w:rFonts w:ascii="Times New Roman" w:hAnsi="Times New Roman"/>
                <w:sz w:val="20"/>
                <w:szCs w:val="20"/>
              </w:rPr>
            </w:pPr>
            <w:r w:rsidRPr="007F5B6A">
              <w:rPr>
                <w:rFonts w:ascii="Times New Roman" w:hAnsi="Times New Roman"/>
                <w:sz w:val="20"/>
                <w:szCs w:val="20"/>
              </w:rPr>
              <w:t>Vypracovanie detailnejšej a presnejšej riadiacej dokumentácie pre žiadateľov a prijímateľov:</w:t>
            </w:r>
          </w:p>
          <w:p w:rsidR="008946EC" w:rsidRPr="007F5B6A" w:rsidRDefault="008946EC" w:rsidP="005A63E6">
            <w:pPr>
              <w:pStyle w:val="Odsekzoznamu"/>
              <w:numPr>
                <w:ilvl w:val="0"/>
                <w:numId w:val="13"/>
              </w:numPr>
              <w:spacing w:after="120" w:line="240" w:lineRule="auto"/>
              <w:ind w:left="459" w:hanging="284"/>
              <w:contextualSpacing w:val="0"/>
              <w:rPr>
                <w:rFonts w:ascii="Times New Roman" w:hAnsi="Times New Roman"/>
                <w:sz w:val="20"/>
                <w:szCs w:val="20"/>
              </w:rPr>
            </w:pPr>
            <w:r w:rsidRPr="007F5B6A">
              <w:rPr>
                <w:rFonts w:ascii="Times New Roman" w:hAnsi="Times New Roman"/>
                <w:sz w:val="20"/>
                <w:szCs w:val="20"/>
              </w:rPr>
              <w:t>vypracovanie systému riadenia PRV</w:t>
            </w:r>
          </w:p>
          <w:p w:rsidR="008946EC" w:rsidRPr="007F5B6A" w:rsidRDefault="008946EC" w:rsidP="005A63E6">
            <w:pPr>
              <w:pStyle w:val="Odsekzoznamu"/>
              <w:numPr>
                <w:ilvl w:val="0"/>
                <w:numId w:val="13"/>
              </w:numPr>
              <w:spacing w:after="120" w:line="240" w:lineRule="auto"/>
              <w:ind w:left="459" w:hanging="284"/>
              <w:contextualSpacing w:val="0"/>
              <w:rPr>
                <w:rFonts w:ascii="Times New Roman" w:hAnsi="Times New Roman"/>
                <w:sz w:val="20"/>
                <w:szCs w:val="20"/>
              </w:rPr>
            </w:pPr>
            <w:r w:rsidRPr="007F5B6A">
              <w:rPr>
                <w:rFonts w:ascii="Times New Roman" w:hAnsi="Times New Roman"/>
                <w:sz w:val="20"/>
                <w:szCs w:val="20"/>
              </w:rPr>
              <w:t>len jedna príručka pre žiadateľa a jedna pre prijímateľa spolu za všetky opatrenia</w:t>
            </w:r>
          </w:p>
          <w:p w:rsidR="008946EC" w:rsidRPr="007F5B6A" w:rsidRDefault="008946EC" w:rsidP="005A63E6">
            <w:pPr>
              <w:pStyle w:val="Odsekzoznamu"/>
              <w:numPr>
                <w:ilvl w:val="0"/>
                <w:numId w:val="13"/>
              </w:numPr>
              <w:spacing w:after="120" w:line="240" w:lineRule="auto"/>
              <w:ind w:left="459" w:hanging="284"/>
              <w:contextualSpacing w:val="0"/>
              <w:rPr>
                <w:rFonts w:ascii="Times New Roman" w:hAnsi="Times New Roman"/>
                <w:sz w:val="20"/>
                <w:szCs w:val="20"/>
              </w:rPr>
            </w:pPr>
            <w:r w:rsidRPr="007F5B6A">
              <w:rPr>
                <w:rFonts w:ascii="Times New Roman" w:hAnsi="Times New Roman"/>
                <w:sz w:val="20"/>
                <w:szCs w:val="20"/>
              </w:rPr>
              <w:t xml:space="preserve">jeden materiál ohľadne kritérií oprávnenosti a hodnotiacich a výberových  kritérií pre všetky opatrenia </w:t>
            </w:r>
          </w:p>
          <w:p w:rsidR="008946EC" w:rsidRPr="007F5B6A" w:rsidRDefault="008946EC" w:rsidP="008946EC">
            <w:pPr>
              <w:pStyle w:val="Odsekzoznamu"/>
              <w:numPr>
                <w:ilvl w:val="0"/>
                <w:numId w:val="13"/>
              </w:numPr>
              <w:spacing w:after="0" w:line="240" w:lineRule="auto"/>
              <w:ind w:left="459" w:hanging="284"/>
              <w:contextualSpacing w:val="0"/>
              <w:rPr>
                <w:rFonts w:ascii="Times New Roman" w:hAnsi="Times New Roman"/>
                <w:sz w:val="20"/>
                <w:szCs w:val="20"/>
              </w:rPr>
            </w:pPr>
            <w:r w:rsidRPr="007F5B6A">
              <w:rPr>
                <w:rFonts w:ascii="Times New Roman" w:hAnsi="Times New Roman"/>
                <w:sz w:val="20"/>
                <w:szCs w:val="20"/>
              </w:rPr>
              <w:t>vypracovanie samostatných manuálov pre verejné obstarávanie.</w:t>
            </w:r>
          </w:p>
          <w:p w:rsidR="008946EC" w:rsidRPr="007F5B6A" w:rsidRDefault="008946EC" w:rsidP="008946EC">
            <w:pPr>
              <w:rPr>
                <w:rFonts w:ascii="Times New Roman" w:hAnsi="Times New Roman"/>
                <w:sz w:val="20"/>
                <w:szCs w:val="20"/>
                <w:lang w:val="sk-SK"/>
              </w:rPr>
            </w:pPr>
          </w:p>
          <w:p w:rsidR="008946EC" w:rsidRPr="007F5B6A" w:rsidRDefault="008946EC" w:rsidP="005A63E6">
            <w:pPr>
              <w:pStyle w:val="Odsekzoznamu"/>
              <w:numPr>
                <w:ilvl w:val="0"/>
                <w:numId w:val="12"/>
              </w:numPr>
              <w:spacing w:after="120" w:line="240" w:lineRule="auto"/>
              <w:ind w:left="318" w:hanging="317"/>
              <w:contextualSpacing w:val="0"/>
              <w:rPr>
                <w:rFonts w:ascii="Times New Roman" w:hAnsi="Times New Roman"/>
                <w:sz w:val="20"/>
                <w:szCs w:val="20"/>
              </w:rPr>
            </w:pPr>
            <w:r w:rsidRPr="007F5B6A">
              <w:rPr>
                <w:rFonts w:ascii="Times New Roman" w:hAnsi="Times New Roman"/>
                <w:sz w:val="20"/>
                <w:szCs w:val="20"/>
              </w:rPr>
              <w:t xml:space="preserve">Lepšie informovanie o plánovaní výziev  prostredníctvom zverejňovania harmonogramu výziev </w:t>
            </w:r>
          </w:p>
          <w:p w:rsidR="008946EC" w:rsidRPr="007F5B6A" w:rsidRDefault="008946EC" w:rsidP="005A63E6">
            <w:pPr>
              <w:pStyle w:val="Odsekzoznamu"/>
              <w:numPr>
                <w:ilvl w:val="0"/>
                <w:numId w:val="12"/>
              </w:numPr>
              <w:spacing w:after="120" w:line="240" w:lineRule="auto"/>
              <w:ind w:left="318" w:hanging="283"/>
              <w:contextualSpacing w:val="0"/>
              <w:rPr>
                <w:rFonts w:ascii="Times New Roman" w:hAnsi="Times New Roman"/>
                <w:sz w:val="20"/>
                <w:szCs w:val="20"/>
              </w:rPr>
            </w:pPr>
            <w:r w:rsidRPr="007F5B6A">
              <w:rPr>
                <w:rFonts w:ascii="Times New Roman" w:hAnsi="Times New Roman"/>
                <w:sz w:val="20"/>
                <w:szCs w:val="20"/>
              </w:rPr>
              <w:t xml:space="preserve">Zjednodušenie a unifikovanie formulárov, ktoré sú súčasťou výzvy </w:t>
            </w:r>
          </w:p>
          <w:p w:rsidR="008946EC" w:rsidRPr="007F5B6A" w:rsidRDefault="008946EC" w:rsidP="005A63E6">
            <w:pPr>
              <w:pStyle w:val="Odsekzoznamu"/>
              <w:numPr>
                <w:ilvl w:val="0"/>
                <w:numId w:val="12"/>
              </w:numPr>
              <w:spacing w:after="120" w:line="240" w:lineRule="auto"/>
              <w:ind w:left="318" w:hanging="283"/>
              <w:contextualSpacing w:val="0"/>
              <w:rPr>
                <w:rFonts w:ascii="Times New Roman" w:hAnsi="Times New Roman"/>
                <w:sz w:val="20"/>
                <w:szCs w:val="20"/>
              </w:rPr>
            </w:pPr>
            <w:r w:rsidRPr="007F5B6A">
              <w:rPr>
                <w:rFonts w:ascii="Times New Roman" w:hAnsi="Times New Roman"/>
                <w:sz w:val="20"/>
                <w:szCs w:val="20"/>
              </w:rPr>
              <w:t>Postupné zavedenie elektronického podávania žiadostí v rámci PRV SR 2014-2020 s termínom zavedenia u neprojektových podpôr do 31.3.2016  a u projektových opatrení do 31.12.2016. Na uvedené prioritne  vyčlení MPRV SR aj zodpovedajúcu čiastku finančných prostriedkov z TP PRV SR 2014-2020.</w:t>
            </w:r>
          </w:p>
          <w:p w:rsidR="008946EC" w:rsidRPr="007F5B6A" w:rsidRDefault="008946EC" w:rsidP="005A63E6">
            <w:pPr>
              <w:pStyle w:val="Odsekzoznamu"/>
              <w:numPr>
                <w:ilvl w:val="0"/>
                <w:numId w:val="12"/>
              </w:numPr>
              <w:spacing w:after="120" w:line="240" w:lineRule="auto"/>
              <w:ind w:left="318" w:hanging="283"/>
              <w:contextualSpacing w:val="0"/>
              <w:rPr>
                <w:rFonts w:ascii="Times New Roman" w:hAnsi="Times New Roman"/>
                <w:sz w:val="20"/>
                <w:szCs w:val="20"/>
              </w:rPr>
            </w:pPr>
            <w:r w:rsidRPr="007F5B6A">
              <w:rPr>
                <w:rFonts w:ascii="Times New Roman" w:hAnsi="Times New Roman"/>
                <w:sz w:val="20"/>
                <w:szCs w:val="20"/>
              </w:rPr>
              <w:t>Zvýšenie počtu vyhodnocovateľov žiadostí a autorizátorov platieb na PPA v prechodnom období 2015 a v roku 2016, kedy sa z dôvodu neskoršieho schválenia PRV SR 2014-2020 očakáva výrazný nápor žiadostí o podporu a žiadostí o platbu. Na uvedené prioritne  vyčlení MPRV SR aj zodpovedajúcu čiastku finančných prostriedkov z TP PRV SR 2014-2020 a zo štátneho rozpočtu SR a upraví záväzné ukazovatele počtu pracovníkov v nadväznosti na vykonaný personálny audit.</w:t>
            </w:r>
          </w:p>
          <w:p w:rsidR="008946EC" w:rsidRPr="007F5B6A" w:rsidRDefault="008946EC" w:rsidP="008946EC">
            <w:pPr>
              <w:pStyle w:val="Odsekzoznamu"/>
              <w:numPr>
                <w:ilvl w:val="0"/>
                <w:numId w:val="12"/>
              </w:numPr>
              <w:spacing w:after="0" w:line="240" w:lineRule="auto"/>
              <w:ind w:left="317" w:hanging="283"/>
              <w:contextualSpacing w:val="0"/>
              <w:rPr>
                <w:rFonts w:ascii="Times New Roman" w:hAnsi="Times New Roman"/>
                <w:sz w:val="20"/>
                <w:szCs w:val="20"/>
              </w:rPr>
            </w:pPr>
            <w:r w:rsidRPr="007F5B6A">
              <w:rPr>
                <w:rFonts w:ascii="Times New Roman" w:hAnsi="Times New Roman"/>
                <w:sz w:val="20"/>
                <w:szCs w:val="20"/>
              </w:rPr>
              <w:t>Zvýšenie počtu a kvality vzdelávacích aktivít pre žiadateľov a tiež pre zamestnancov PPA s cieľom štandardizácie a urýchlenia procesov pri schvaľovaní . Na uvedené prioritne  vyčlení MPRV SR aj zodpovedajúcu čiastku finančných prostriedkov z TP PRV SR 2014-2020.</w:t>
            </w:r>
          </w:p>
          <w:p w:rsidR="006D40E7" w:rsidRPr="007F5B6A" w:rsidRDefault="006D40E7" w:rsidP="00E91F7C">
            <w:pPr>
              <w:spacing w:after="0" w:line="240" w:lineRule="auto"/>
              <w:rPr>
                <w:rFonts w:ascii="Times New Roman" w:hAnsi="Times New Roman"/>
                <w:sz w:val="20"/>
                <w:szCs w:val="20"/>
                <w:lang w:val="sk-SK"/>
              </w:rPr>
            </w:pP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It should be ensured that projects approved and certified to beneficiaries by LAGs will be also recorded in the national database of all beneficiaries with approved support from EAFRD. Slovakia should confirm the use of IT systems under responsibility of Ministry of Agriculture and Rural Development for verifying data of beneficiaries.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Style w:val="hps"/>
                <w:rFonts w:ascii="Times New Roman" w:hAnsi="Times New Roman"/>
                <w:sz w:val="20"/>
                <w:szCs w:val="20"/>
                <w:lang w:val="sk-SK"/>
              </w:rPr>
              <w:t>Bude zabezpečené, že projekty schválené v rámci MAS budú v zaevidované v informačnom  systéme PPA obdobne ako  ostatné projekty.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352.</w:t>
            </w:r>
          </w:p>
        </w:tc>
        <w:tc>
          <w:tcPr>
            <w:tcW w:w="2963" w:type="pct"/>
            <w:shd w:val="clear" w:color="auto" w:fill="FFFFFF" w:themeFill="background1"/>
          </w:tcPr>
          <w:p w:rsidR="006D40E7" w:rsidRPr="007F5B6A" w:rsidRDefault="006D40E7" w:rsidP="00E91F7C">
            <w:pPr>
              <w:pStyle w:val="Nadpis2"/>
              <w:spacing w:before="0" w:after="0"/>
              <w:rPr>
                <w:rFonts w:ascii="Times New Roman" w:hAnsi="Times New Roman"/>
                <w:sz w:val="20"/>
              </w:rPr>
            </w:pPr>
            <w:r w:rsidRPr="007F5B6A">
              <w:rPr>
                <w:rFonts w:ascii="Times New Roman" w:hAnsi="Times New Roman"/>
                <w:sz w:val="20"/>
              </w:rPr>
              <w:t xml:space="preserve">Technical assistance </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This section should also describe the activities related to the preparation, management, monitoring, evaluation, national rural networking, information and control of the programme and its implementation. Beneficiaries and eligibility conditions should be also described.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8A290D"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 Text bol revidovaný v zmysle pripomienky.</w:t>
            </w:r>
          </w:p>
          <w:p w:rsidR="006D40E7" w:rsidRPr="007F5B6A" w:rsidRDefault="006D40E7" w:rsidP="00E91F7C">
            <w:pPr>
              <w:widowControl/>
              <w:spacing w:after="0" w:line="240" w:lineRule="auto"/>
              <w:rPr>
                <w:rFonts w:ascii="Times New Roman" w:hAnsi="Times New Roman"/>
                <w:b/>
                <w:sz w:val="20"/>
                <w:szCs w:val="20"/>
                <w:lang w:val="sk-SK"/>
              </w:rPr>
            </w:pP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353.</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The bodies or entities which are expected to be beneficiaries of Technical Assistance measure should be indicated.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817D97">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Príjemcom je riadiaci orgán programu (MPRV SR), Pôdohospodárska platobná agentúra a inštitucionálny rámec Národnej siete rozvoja vidieka pre prevádzku siete a akčný plán siete.</w:t>
            </w:r>
          </w:p>
        </w:tc>
      </w:tr>
      <w:tr w:rsidR="00862CEA" w:rsidRPr="007F5B6A" w:rsidTr="00D877AC">
        <w:tc>
          <w:tcPr>
            <w:tcW w:w="235" w:type="pct"/>
            <w:shd w:val="clear" w:color="auto" w:fill="FFFFFF" w:themeFill="background1"/>
          </w:tcPr>
          <w:p w:rsidR="00862CEA" w:rsidRPr="007F5B6A" w:rsidRDefault="00862CEA"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354.</w:t>
            </w:r>
          </w:p>
        </w:tc>
        <w:tc>
          <w:tcPr>
            <w:tcW w:w="2963" w:type="pct"/>
            <w:shd w:val="clear" w:color="auto" w:fill="FFFFFF" w:themeFill="background1"/>
          </w:tcPr>
          <w:p w:rsidR="00862CEA" w:rsidRPr="007F5B6A" w:rsidRDefault="00862CEA"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More detail should be provided on the additional administrative expenditure (which bodies, salaries or top-ups, criteria, etc.)</w:t>
            </w:r>
            <w:r w:rsidRPr="007F5B6A" w:rsidDel="00733374">
              <w:rPr>
                <w:rFonts w:ascii="Times New Roman" w:hAnsi="Times New Roman"/>
                <w:sz w:val="20"/>
                <w:szCs w:val="20"/>
                <w:lang w:val="en-GB"/>
              </w:rPr>
              <w:t xml:space="preserve"> </w:t>
            </w:r>
            <w:r w:rsidRPr="007F5B6A">
              <w:rPr>
                <w:rFonts w:ascii="Times New Roman" w:hAnsi="Times New Roman"/>
                <w:sz w:val="20"/>
                <w:szCs w:val="20"/>
                <w:lang w:val="en-GB"/>
              </w:rPr>
              <w:t xml:space="preserve">of the national/regional authorities which are going to be financed under the RDP. </w:t>
            </w:r>
          </w:p>
        </w:tc>
        <w:tc>
          <w:tcPr>
            <w:tcW w:w="296" w:type="pct"/>
            <w:shd w:val="clear" w:color="auto" w:fill="FFFFFF" w:themeFill="background1"/>
            <w:vAlign w:val="center"/>
          </w:tcPr>
          <w:p w:rsidR="00862CEA" w:rsidRPr="007F5B6A" w:rsidRDefault="00862CEA"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862CEA" w:rsidRPr="007F5B6A" w:rsidRDefault="00862CEA" w:rsidP="00862CEA">
            <w:pPr>
              <w:widowControl/>
              <w:spacing w:after="0"/>
              <w:rPr>
                <w:rFonts w:ascii="Times New Roman" w:hAnsi="Times New Roman"/>
                <w:sz w:val="20"/>
                <w:szCs w:val="20"/>
                <w:lang w:val="sk-SK"/>
              </w:rPr>
            </w:pPr>
            <w:r w:rsidRPr="007F5B6A">
              <w:rPr>
                <w:rFonts w:ascii="Times New Roman" w:hAnsi="Times New Roman"/>
                <w:sz w:val="20"/>
                <w:szCs w:val="20"/>
                <w:lang w:val="sk-SK"/>
              </w:rPr>
              <w:t xml:space="preserve">Mzdové náklady (vrátane odmien)  a povinné odvody zamestnávateľa za personálne kapacity štátnej a verejnej správy oprávnených žiadateľov vykonávajúcich činnosti spojené s riadením, implementáciou, kontrolou, auditom, monitorovaním, hodnotením programu, prípravou nového programového obdobia a zabezpečovaním ostatných oprávnených činností technickej pomoci s odhadovanou sumou vo výške  33 340 000,00 EUR – činnosti musia byť podložené patrične zdôvodneným rozhodnutím príslušného orgánu o vykonávaní úloh a výkazom vykonanej práce. Zamestnanec vo výkaze vykonanej práce preukáže oprávnenosť pracovnej činnosti vo výške 50 – 100% jeho pracovného času. </w:t>
            </w:r>
          </w:p>
          <w:p w:rsidR="00862CEA" w:rsidRPr="007F5B6A" w:rsidRDefault="00862CEA" w:rsidP="00862CEA">
            <w:pPr>
              <w:widowControl/>
              <w:spacing w:after="0"/>
              <w:rPr>
                <w:rFonts w:ascii="Times New Roman" w:hAnsi="Times New Roman"/>
                <w:sz w:val="20"/>
                <w:szCs w:val="20"/>
                <w:lang w:val="sk-SK"/>
              </w:rPr>
            </w:pPr>
            <w:r w:rsidRPr="007F5B6A">
              <w:rPr>
                <w:rFonts w:ascii="Times New Roman" w:hAnsi="Times New Roman"/>
                <w:sz w:val="20"/>
                <w:szCs w:val="20"/>
                <w:lang w:val="sk-SK"/>
              </w:rPr>
              <w:t>Viď text kapitoly 15.6</w:t>
            </w:r>
          </w:p>
          <w:p w:rsidR="00862CEA" w:rsidRPr="007F5B6A" w:rsidRDefault="00862CEA" w:rsidP="00123907">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Na základe analýzy administratívnych kapacít je potrebné navýšenie  PRV  v programovom období  2014-2020 na RO o 11 osôb na PPA o 30 osôb.</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Technical assistance could be potentially error prone, due to the necessary compliance with public procurement obligations by the national authorities. It would be advisable to make reference to the system by which services and goods are going to be procured. The reasonableness of costs must also be ensured through appropriate systems.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123907">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Z hľadiska oprávnenosti sú na financovanie z PRV oprávnené výdavky vyššie uvedených subjektov vznikajúce pri zabezpečovaní oprávnených činností, režijné náklady organizačných útvarov   konečného prijímateľa a režijné náklady NSRV v súlade s verejnými zákazkami v zmysle platných predpisov v oblasti  verejného obstarávania.</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356.</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In order to comply with the general principles of sound financial management of EU Funds, Technical Assistance expenditure should be based on SMART operational objectives (Art 30 of Regulation No. 966/2012), following appropriate needs assessment. The outputs should be monitored and evaluated, based on performance indicators.</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817D97">
            <w:pPr>
              <w:spacing w:after="0" w:line="240" w:lineRule="auto"/>
              <w:jc w:val="both"/>
              <w:rPr>
                <w:rFonts w:ascii="Times New Roman" w:hAnsi="Times New Roman"/>
                <w:sz w:val="20"/>
                <w:szCs w:val="20"/>
                <w:lang w:val="sk-SK"/>
              </w:rPr>
            </w:pPr>
            <w:r w:rsidRPr="007F5B6A">
              <w:rPr>
                <w:rFonts w:ascii="Times New Roman" w:hAnsi="Times New Roman"/>
                <w:sz w:val="20"/>
                <w:szCs w:val="20"/>
                <w:lang w:val="sk-SK"/>
              </w:rPr>
              <w:t>V záujme dodržania všeobecných zásad riadneho finančného hospodárenia bude technická pomoc monitorovaná a hodnotená na základe nasledovných ukazovateľov výkonnosti:</w:t>
            </w:r>
          </w:p>
          <w:p w:rsidR="006D40E7" w:rsidRPr="007F5B6A" w:rsidRDefault="006D40E7" w:rsidP="00975BC8">
            <w:pPr>
              <w:numPr>
                <w:ilvl w:val="0"/>
                <w:numId w:val="11"/>
              </w:numPr>
              <w:spacing w:after="0" w:line="240" w:lineRule="auto"/>
              <w:ind w:left="317" w:hanging="283"/>
              <w:jc w:val="both"/>
              <w:rPr>
                <w:rFonts w:ascii="Times New Roman" w:hAnsi="Times New Roman"/>
                <w:sz w:val="20"/>
                <w:szCs w:val="20"/>
                <w:lang w:val="sk-SK"/>
              </w:rPr>
            </w:pPr>
            <w:r w:rsidRPr="007F5B6A">
              <w:rPr>
                <w:rFonts w:ascii="Times New Roman" w:hAnsi="Times New Roman"/>
                <w:sz w:val="20"/>
                <w:szCs w:val="20"/>
                <w:lang w:val="sk-SK"/>
              </w:rPr>
              <w:t xml:space="preserve">počet zasadnutí Monitorovacieho výboru, výročných stretnutí s EK, stretnutí pracovných skupín, </w:t>
            </w:r>
          </w:p>
          <w:p w:rsidR="006D40E7" w:rsidRPr="007F5B6A" w:rsidRDefault="006D40E7" w:rsidP="00975BC8">
            <w:pPr>
              <w:numPr>
                <w:ilvl w:val="0"/>
                <w:numId w:val="11"/>
              </w:numPr>
              <w:spacing w:after="0" w:line="240" w:lineRule="auto"/>
              <w:ind w:left="317" w:hanging="283"/>
              <w:jc w:val="both"/>
              <w:rPr>
                <w:rFonts w:ascii="Times New Roman" w:hAnsi="Times New Roman"/>
                <w:sz w:val="20"/>
                <w:szCs w:val="20"/>
                <w:lang w:val="sk-SK"/>
              </w:rPr>
            </w:pPr>
            <w:r w:rsidRPr="007F5B6A">
              <w:rPr>
                <w:rFonts w:ascii="Times New Roman" w:hAnsi="Times New Roman"/>
                <w:sz w:val="20"/>
                <w:szCs w:val="20"/>
                <w:lang w:val="sk-SK"/>
              </w:rPr>
              <w:t xml:space="preserve">počet štúdií, analýz, koncepcií, expertíz, prieskumov, metodických príručiek a posudkov,   </w:t>
            </w:r>
          </w:p>
          <w:p w:rsidR="006D40E7" w:rsidRPr="007F5B6A" w:rsidRDefault="006D40E7" w:rsidP="00975BC8">
            <w:pPr>
              <w:numPr>
                <w:ilvl w:val="0"/>
                <w:numId w:val="11"/>
              </w:numPr>
              <w:spacing w:after="0" w:line="240" w:lineRule="auto"/>
              <w:ind w:left="317" w:hanging="283"/>
              <w:jc w:val="both"/>
              <w:rPr>
                <w:rFonts w:ascii="Times New Roman" w:hAnsi="Times New Roman"/>
                <w:sz w:val="20"/>
                <w:szCs w:val="20"/>
                <w:lang w:val="sk-SK"/>
              </w:rPr>
            </w:pPr>
            <w:r w:rsidRPr="007F5B6A">
              <w:rPr>
                <w:rFonts w:ascii="Times New Roman" w:hAnsi="Times New Roman"/>
                <w:sz w:val="20"/>
                <w:szCs w:val="20"/>
                <w:lang w:val="sk-SK"/>
              </w:rPr>
              <w:t>počet verejných informačných podujatí,</w:t>
            </w:r>
          </w:p>
          <w:p w:rsidR="006D40E7" w:rsidRPr="007F5B6A" w:rsidRDefault="006D40E7" w:rsidP="00975BC8">
            <w:pPr>
              <w:widowControl/>
              <w:numPr>
                <w:ilvl w:val="0"/>
                <w:numId w:val="11"/>
              </w:numPr>
              <w:spacing w:after="0"/>
              <w:ind w:left="317" w:hanging="283"/>
              <w:rPr>
                <w:rFonts w:ascii="Times New Roman" w:hAnsi="Times New Roman"/>
                <w:sz w:val="20"/>
                <w:szCs w:val="20"/>
                <w:lang w:val="sk-SK"/>
              </w:rPr>
            </w:pPr>
            <w:r w:rsidRPr="007F5B6A">
              <w:rPr>
                <w:rFonts w:ascii="Times New Roman" w:hAnsi="Times New Roman"/>
                <w:sz w:val="20"/>
                <w:szCs w:val="20"/>
                <w:lang w:val="sk-SK"/>
              </w:rPr>
              <w:t xml:space="preserve">počet personálnych kapacít, ktorých mzdové náklady sú spolufinancované z technickej pomoci.  </w:t>
            </w:r>
          </w:p>
          <w:p w:rsidR="006D40E7" w:rsidRPr="007F5B6A" w:rsidRDefault="006D40E7" w:rsidP="00817D97">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Viď text kapitoly 15.6</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357.</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Finally it should be noted that under 2014-2020 programming period, expenditure under TA is subject to administrative and on-the-spot checks which should be carried out by a functionally independent entity from the one authorising the payment (Art. 62 of Regulation No. 809/2014). Therefore, internal financial management and control system should be ensured.</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Odbor  kontroly TP PRV zriadený na organizačnom útvare MPRV SR, nezávislý od RO PRV, ktorý vykonáva administratívne kontroly a kontroly na mieste. Bude vypracovaný systém kontroly TP. PPA vytvorí následne prístupy do IT systémov pre na to určených zamestnancov.  Podľa analýzy administratívnych kapacít sú plánované pre nový organizačný útvar 2 osoby.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358.</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Involvement of partners (Section 16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indicate the dates and deadlines of events organised within the Partnership and how easy access to the information has been ensured.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Kapitola </w:t>
            </w:r>
            <w:r w:rsidR="00FC4D78" w:rsidRPr="007F5B6A">
              <w:rPr>
                <w:rFonts w:ascii="Times New Roman" w:hAnsi="Times New Roman"/>
                <w:sz w:val="20"/>
                <w:szCs w:val="20"/>
                <w:lang w:val="sk-SK"/>
              </w:rPr>
              <w:t xml:space="preserve">bola </w:t>
            </w:r>
            <w:r w:rsidRPr="007F5B6A">
              <w:rPr>
                <w:rFonts w:ascii="Times New Roman" w:hAnsi="Times New Roman"/>
                <w:sz w:val="20"/>
                <w:szCs w:val="20"/>
                <w:lang w:val="sk-SK"/>
              </w:rPr>
              <w:t>upravená v zmysle pripomien</w:t>
            </w:r>
            <w:r w:rsidR="00FC4D78" w:rsidRPr="007F5B6A">
              <w:rPr>
                <w:rFonts w:ascii="Times New Roman" w:hAnsi="Times New Roman"/>
                <w:sz w:val="20"/>
                <w:szCs w:val="20"/>
                <w:lang w:val="sk-SK"/>
              </w:rPr>
              <w:t>ky</w:t>
            </w:r>
            <w:r w:rsidR="00123907" w:rsidRPr="007F5B6A">
              <w:rPr>
                <w:rFonts w:ascii="Times New Roman" w:hAnsi="Times New Roman"/>
                <w:sz w:val="20"/>
                <w:szCs w:val="20"/>
                <w:lang w:val="sk-SK"/>
              </w:rPr>
              <w:t>.</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359.</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include into the description in which phases the stakeholders were involved into the preparation of programme, as regards: </w:t>
            </w:r>
          </w:p>
          <w:p w:rsidR="006D40E7" w:rsidRPr="007F5B6A" w:rsidRDefault="006D40E7"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(a) the analysis and identification of needs;</w:t>
            </w:r>
          </w:p>
          <w:p w:rsidR="006D40E7" w:rsidRPr="007F5B6A" w:rsidRDefault="006D40E7"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(b) the definition or selection of priorities and related specific objectives;</w:t>
            </w:r>
          </w:p>
          <w:p w:rsidR="006D40E7" w:rsidRPr="007F5B6A" w:rsidRDefault="006D40E7"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(c) the allocation of funding;</w:t>
            </w:r>
          </w:p>
          <w:p w:rsidR="006D40E7" w:rsidRPr="007F5B6A" w:rsidRDefault="006D40E7"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(d) the definition of programmes’ specific indicators;</w:t>
            </w:r>
          </w:p>
          <w:p w:rsidR="006D40E7" w:rsidRPr="007F5B6A" w:rsidRDefault="006D40E7"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(e) the implementation of the horizontal principles as defined in Articles 7 and 8 of the Common Provisions Regulation (EU) No 1303/2013;</w:t>
            </w:r>
          </w:p>
          <w:p w:rsidR="006D40E7" w:rsidRPr="007F5B6A" w:rsidRDefault="006D40E7" w:rsidP="00E91F7C">
            <w:pPr>
              <w:spacing w:after="0" w:line="240" w:lineRule="auto"/>
              <w:rPr>
                <w:rFonts w:ascii="Times New Roman" w:hAnsi="Times New Roman"/>
                <w:sz w:val="20"/>
                <w:szCs w:val="20"/>
                <w:lang w:val="en-GB"/>
              </w:rPr>
            </w:pPr>
            <w:r w:rsidRPr="007F5B6A">
              <w:rPr>
                <w:rFonts w:ascii="Times New Roman" w:hAnsi="Times New Roman"/>
                <w:sz w:val="20"/>
                <w:szCs w:val="20"/>
                <w:lang w:val="en-GB"/>
              </w:rPr>
              <w:t>(f) the composition of the monitoring committee.</w:t>
            </w:r>
          </w:p>
          <w:p w:rsidR="006D40E7" w:rsidRPr="007F5B6A" w:rsidRDefault="006D40E7" w:rsidP="00E91F7C">
            <w:pPr>
              <w:widowControl/>
              <w:spacing w:after="0" w:line="240" w:lineRule="auto"/>
              <w:rPr>
                <w:rFonts w:ascii="Times New Roman" w:hAnsi="Times New Roman"/>
                <w:sz w:val="20"/>
                <w:szCs w:val="20"/>
                <w:lang w:val="en-GB"/>
              </w:rPr>
            </w:pP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FC4D78" w:rsidP="00123907">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Kapitola bola upravená v zmysle pripomienky.</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360.</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National rural network (Section 17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It should be ensured that all the objectives and tasks listed in Art. 54 EAFRD are covered. Therefore, it is suggested to list the minimum activities from this Article and to add those which are going beyond.  The main objectives of the RDP should be considered when proposing the main categories of activities of the NRN.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sz w:val="20"/>
                <w:szCs w:val="20"/>
                <w:lang w:val="sk-SK"/>
              </w:rPr>
              <w:t>Text bol doplnený.</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361.</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resources allocated for establishing and operating the NRN should be indicated.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Text bol upravený v kapitole 17.4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362.</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Ex-ante assessment of verifiability, controllability and error risk (Section 18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provide a statement by the Managing Authority and the Paying Agency on the verifiability and controllability of the measures supported under the RDP confirming that findings from audit reports and error rate causes have been taken into account.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D05A06">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Zapracované do kapitoly 18.1.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363.</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consider filing the Table II provided for in the guidance fiche on verifiability and controllability of the measures. It is suggested to establish a clear link (e.g. table format) between the audit findings (DG AGRI/ECA) and the mitigating actions proposed in the RDP, for a better understanding the overall approach towards the error rate in the RDP 2014 – 2020.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B4154A" w:rsidP="00652DD8">
            <w:pPr>
              <w:spacing w:after="0" w:line="240" w:lineRule="auto"/>
              <w:rPr>
                <w:rFonts w:ascii="Times New Roman" w:hAnsi="Times New Roman"/>
                <w:b/>
                <w:sz w:val="20"/>
                <w:szCs w:val="20"/>
                <w:lang w:val="sk-SK"/>
              </w:rPr>
            </w:pPr>
            <w:r w:rsidRPr="007F5B6A">
              <w:rPr>
                <w:rFonts w:ascii="Times New Roman" w:hAnsi="Times New Roman"/>
                <w:sz w:val="20"/>
                <w:szCs w:val="20"/>
                <w:lang w:val="sk-SK"/>
              </w:rPr>
              <w:t xml:space="preserve"> Overiteľnosť a kontrolovateľnosť bola zhodnotená v rámci opatrení. Prístup k miere chybovosti bol opísaný v kapitole 18.</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364.</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Please refer to any major cross-cutting (i.e. concerning more than one measure) errors and/or audit findings form the 2007-2013 period (e.g. in relation to public procurement) and lessons learnt that could have an impact on the implementation of new measures, and how they have been addressed in the mitigating actions. Also please add reference to the existing action plan on the error rate.</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spacing w:after="0" w:line="240" w:lineRule="auto"/>
              <w:rPr>
                <w:rFonts w:ascii="Times New Roman" w:hAnsi="Times New Roman"/>
                <w:b/>
                <w:sz w:val="20"/>
                <w:szCs w:val="20"/>
                <w:lang w:val="sk-SK"/>
              </w:rPr>
            </w:pPr>
            <w:r w:rsidRPr="007F5B6A">
              <w:rPr>
                <w:rFonts w:ascii="Times New Roman" w:hAnsi="Times New Roman"/>
                <w:sz w:val="20"/>
                <w:szCs w:val="20"/>
                <w:lang w:val="sk-SK"/>
              </w:rPr>
              <w:t>Zapracované do kapitoly 18.1.</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365.</w:t>
            </w:r>
          </w:p>
        </w:tc>
        <w:tc>
          <w:tcPr>
            <w:tcW w:w="2963" w:type="pct"/>
            <w:shd w:val="clear" w:color="auto" w:fill="FFFFFF" w:themeFill="background1"/>
          </w:tcPr>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The reference is made to independent bodies. There should be a statement from which it will be clear that the bodies are functionally independent from the authorities responsible for the programme and that they certified the calculations. The list of the institutions should be included in the programme.  </w:t>
            </w: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5A7F0E">
            <w:pPr>
              <w:widowControl/>
              <w:spacing w:after="0" w:line="240" w:lineRule="auto"/>
              <w:rPr>
                <w:rFonts w:ascii="Times New Roman" w:hAnsi="Times New Roman"/>
                <w:sz w:val="20"/>
                <w:szCs w:val="20"/>
                <w:lang w:val="sk-SK"/>
              </w:rPr>
            </w:pPr>
            <w:r w:rsidRPr="007F5B6A">
              <w:rPr>
                <w:rFonts w:ascii="Times New Roman" w:hAnsi="Times New Roman"/>
                <w:sz w:val="20"/>
                <w:szCs w:val="20"/>
                <w:lang w:val="sk-SK"/>
              </w:rPr>
              <w:t xml:space="preserve">Kapitola </w:t>
            </w:r>
            <w:r w:rsidR="005A7F0E" w:rsidRPr="007F5B6A">
              <w:rPr>
                <w:rFonts w:ascii="Times New Roman" w:hAnsi="Times New Roman"/>
                <w:sz w:val="20"/>
                <w:szCs w:val="20"/>
                <w:lang w:val="sk-SK"/>
              </w:rPr>
              <w:t xml:space="preserve">bola </w:t>
            </w:r>
            <w:r w:rsidRPr="007F5B6A">
              <w:rPr>
                <w:rFonts w:ascii="Times New Roman" w:hAnsi="Times New Roman"/>
                <w:sz w:val="20"/>
                <w:szCs w:val="20"/>
                <w:lang w:val="sk-SK"/>
              </w:rPr>
              <w:t>dopracovaná v zmysle pripomienky .</w:t>
            </w:r>
          </w:p>
        </w:tc>
      </w:tr>
      <w:tr w:rsidR="006D40E7" w:rsidRPr="007F5B6A" w:rsidTr="00D877AC">
        <w:tc>
          <w:tcPr>
            <w:tcW w:w="235" w:type="pct"/>
            <w:shd w:val="clear" w:color="auto" w:fill="FFFFFF" w:themeFill="background1"/>
          </w:tcPr>
          <w:p w:rsidR="006D40E7" w:rsidRPr="007F5B6A" w:rsidRDefault="006D40E7" w:rsidP="00E91F7C">
            <w:pPr>
              <w:widowControl/>
              <w:spacing w:after="0" w:line="240" w:lineRule="auto"/>
              <w:rPr>
                <w:rFonts w:ascii="Times New Roman" w:hAnsi="Times New Roman"/>
                <w:b/>
                <w:sz w:val="20"/>
                <w:szCs w:val="20"/>
                <w:lang w:val="sk-SK"/>
              </w:rPr>
            </w:pPr>
            <w:r w:rsidRPr="007F5B6A">
              <w:rPr>
                <w:rFonts w:ascii="Times New Roman" w:hAnsi="Times New Roman"/>
                <w:b/>
                <w:sz w:val="20"/>
                <w:szCs w:val="20"/>
                <w:lang w:val="sk-SK"/>
              </w:rPr>
              <w:t>366.</w:t>
            </w:r>
          </w:p>
        </w:tc>
        <w:tc>
          <w:tcPr>
            <w:tcW w:w="2963" w:type="pct"/>
            <w:shd w:val="clear" w:color="auto" w:fill="FFFFFF" w:themeFill="background1"/>
          </w:tcPr>
          <w:p w:rsidR="006D40E7" w:rsidRPr="007F5B6A" w:rsidRDefault="006D40E7" w:rsidP="00E91F7C">
            <w:pPr>
              <w:pStyle w:val="Nadpis1"/>
              <w:spacing w:before="0" w:after="0" w:line="240" w:lineRule="auto"/>
              <w:rPr>
                <w:rFonts w:ascii="Times New Roman" w:hAnsi="Times New Roman"/>
                <w:sz w:val="20"/>
                <w:szCs w:val="20"/>
                <w:lang w:val="en-GB"/>
              </w:rPr>
            </w:pPr>
            <w:r w:rsidRPr="007F5B6A">
              <w:rPr>
                <w:rFonts w:ascii="Times New Roman" w:hAnsi="Times New Roman"/>
                <w:sz w:val="20"/>
                <w:szCs w:val="20"/>
                <w:lang w:val="en-GB"/>
              </w:rPr>
              <w:t>Transitional arrangements (Section 19 of RDP)</w:t>
            </w:r>
          </w:p>
          <w:p w:rsidR="006D40E7" w:rsidRPr="007F5B6A" w:rsidRDefault="006D40E7" w:rsidP="00E91F7C">
            <w:pPr>
              <w:widowControl/>
              <w:adjustRightInd/>
              <w:spacing w:after="0" w:line="240" w:lineRule="auto"/>
              <w:jc w:val="both"/>
              <w:rPr>
                <w:rFonts w:ascii="Times New Roman" w:hAnsi="Times New Roman"/>
                <w:sz w:val="20"/>
                <w:szCs w:val="20"/>
                <w:lang w:val="en-GB"/>
              </w:rPr>
            </w:pPr>
            <w:r w:rsidRPr="007F5B6A">
              <w:rPr>
                <w:rFonts w:ascii="Times New Roman" w:hAnsi="Times New Roman"/>
                <w:sz w:val="20"/>
                <w:szCs w:val="20"/>
                <w:lang w:val="en-GB"/>
              </w:rPr>
              <w:t xml:space="preserve">Slovakia should describe the transitional arrangements between the 2007-2013 and 2014-2020 programming periods per measure, including the justification of the indicative amounts carried over, the cut-off dates and confirm that the relevant transitional operations are clearly identified through the management and control system of the Paying Agency. </w:t>
            </w:r>
          </w:p>
          <w:p w:rsidR="006D40E7" w:rsidRPr="007F5B6A" w:rsidRDefault="006D40E7" w:rsidP="00E91F7C">
            <w:pPr>
              <w:widowControl/>
              <w:spacing w:after="0" w:line="240" w:lineRule="auto"/>
              <w:rPr>
                <w:rFonts w:ascii="Times New Roman" w:hAnsi="Times New Roman"/>
                <w:sz w:val="20"/>
                <w:szCs w:val="20"/>
                <w:lang w:val="en-GB"/>
              </w:rPr>
            </w:pPr>
          </w:p>
        </w:tc>
        <w:tc>
          <w:tcPr>
            <w:tcW w:w="296" w:type="pct"/>
            <w:shd w:val="clear" w:color="auto" w:fill="FFFFFF" w:themeFill="background1"/>
            <w:vAlign w:val="center"/>
          </w:tcPr>
          <w:p w:rsidR="006D40E7" w:rsidRPr="007F5B6A" w:rsidRDefault="006D40E7" w:rsidP="00E91F7C">
            <w:pPr>
              <w:widowControl/>
              <w:spacing w:after="0" w:line="240" w:lineRule="auto"/>
              <w:jc w:val="center"/>
              <w:rPr>
                <w:rFonts w:ascii="Times New Roman" w:hAnsi="Times New Roman"/>
                <w:b/>
                <w:sz w:val="20"/>
                <w:szCs w:val="20"/>
                <w:lang w:val="sk-SK"/>
              </w:rPr>
            </w:pPr>
            <w:r w:rsidRPr="007F5B6A">
              <w:rPr>
                <w:rFonts w:ascii="Times New Roman" w:hAnsi="Times New Roman"/>
                <w:b/>
                <w:sz w:val="20"/>
                <w:szCs w:val="20"/>
                <w:lang w:val="sk-SK"/>
              </w:rPr>
              <w:t>A</w:t>
            </w:r>
          </w:p>
        </w:tc>
        <w:tc>
          <w:tcPr>
            <w:tcW w:w="1506" w:type="pct"/>
            <w:shd w:val="clear" w:color="auto" w:fill="FFFFFF" w:themeFill="background1"/>
            <w:vAlign w:val="center"/>
          </w:tcPr>
          <w:p w:rsidR="006D40E7" w:rsidRPr="007F5B6A" w:rsidRDefault="006D40E7" w:rsidP="00E91F7C">
            <w:pPr>
              <w:spacing w:after="0" w:line="240" w:lineRule="auto"/>
              <w:rPr>
                <w:rFonts w:ascii="Times New Roman" w:hAnsi="Times New Roman"/>
                <w:sz w:val="20"/>
                <w:szCs w:val="20"/>
                <w:lang w:val="sk-SK"/>
              </w:rPr>
            </w:pPr>
            <w:r w:rsidRPr="007F5B6A">
              <w:rPr>
                <w:rFonts w:ascii="Times New Roman" w:hAnsi="Times New Roman"/>
                <w:sz w:val="20"/>
                <w:szCs w:val="20"/>
                <w:lang w:val="sk-SK"/>
              </w:rPr>
              <w:t>V kapitole Prechodné ustanovenia medzi programovacími obdobiami boli doplnené opatrenia a aj odôvodnenia orientačných súm, ktoré boli prenesené, konečné termíny a potvrdenie identifikácie prostredníctvom riadiaceho a kontrolného systému platobnej agentúry.</w:t>
            </w:r>
          </w:p>
        </w:tc>
      </w:tr>
    </w:tbl>
    <w:p w:rsidR="008C5BF7" w:rsidRPr="007F5B6A" w:rsidRDefault="008C5BF7" w:rsidP="006B2CF9">
      <w:pPr>
        <w:widowControl/>
        <w:spacing w:after="0" w:line="240" w:lineRule="auto"/>
        <w:rPr>
          <w:rFonts w:ascii="Times New Roman" w:hAnsi="Times New Roman"/>
          <w:sz w:val="20"/>
          <w:szCs w:val="20"/>
          <w:lang w:val="sk-SK"/>
        </w:rPr>
      </w:pPr>
    </w:p>
    <w:sectPr w:rsidR="008C5BF7" w:rsidRPr="007F5B6A" w:rsidSect="00756B74">
      <w:footerReference w:type="default" r:id="rId8"/>
      <w:pgSz w:w="15840" w:h="12240" w:orient="landscape" w:code="1"/>
      <w:pgMar w:top="851" w:right="851" w:bottom="851" w:left="851"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78F0" w:rsidRDefault="00D678F0" w:rsidP="0064649A">
      <w:pPr>
        <w:spacing w:after="0" w:line="240" w:lineRule="auto"/>
      </w:pPr>
      <w:r>
        <w:separator/>
      </w:r>
    </w:p>
  </w:endnote>
  <w:endnote w:type="continuationSeparator" w:id="0">
    <w:p w:rsidR="00D678F0" w:rsidRDefault="00D678F0" w:rsidP="006464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imes New Roman Bold">
    <w:altName w:val="Times New Roman"/>
    <w:panose1 w:val="00000000000000000000"/>
    <w:charset w:val="00"/>
    <w:family w:val="auto"/>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77AC" w:rsidRDefault="00D877AC">
    <w:pPr>
      <w:pStyle w:val="Pta"/>
      <w:jc w:val="right"/>
    </w:pPr>
    <w:r>
      <w:fldChar w:fldCharType="begin"/>
    </w:r>
    <w:r>
      <w:instrText>PAGE   \* MERGEFORMAT</w:instrText>
    </w:r>
    <w:r>
      <w:fldChar w:fldCharType="separate"/>
    </w:r>
    <w:r w:rsidR="005938AC" w:rsidRPr="005938AC">
      <w:rPr>
        <w:noProof/>
        <w:lang w:val="sk-SK"/>
      </w:rPr>
      <w:t>1</w:t>
    </w:r>
    <w:r>
      <w:fldChar w:fldCharType="end"/>
    </w:r>
  </w:p>
  <w:p w:rsidR="00D877AC" w:rsidRDefault="00D877AC">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78F0" w:rsidRDefault="00D678F0" w:rsidP="0064649A">
      <w:pPr>
        <w:spacing w:after="0" w:line="240" w:lineRule="auto"/>
      </w:pPr>
      <w:r>
        <w:separator/>
      </w:r>
    </w:p>
  </w:footnote>
  <w:footnote w:type="continuationSeparator" w:id="0">
    <w:p w:rsidR="00D678F0" w:rsidRDefault="00D678F0" w:rsidP="006464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745FC"/>
    <w:multiLevelType w:val="hybridMultilevel"/>
    <w:tmpl w:val="02A48FE8"/>
    <w:lvl w:ilvl="0" w:tplc="D220D2F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6581B64"/>
    <w:multiLevelType w:val="hybridMultilevel"/>
    <w:tmpl w:val="53B6D40C"/>
    <w:lvl w:ilvl="0" w:tplc="08090003">
      <w:start w:val="1"/>
      <w:numFmt w:val="bullet"/>
      <w:lvlText w:val="o"/>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430E66"/>
    <w:multiLevelType w:val="hybridMultilevel"/>
    <w:tmpl w:val="FD4A90CC"/>
    <w:lvl w:ilvl="0" w:tplc="D220D2FE">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ACA0A1D"/>
    <w:multiLevelType w:val="hybridMultilevel"/>
    <w:tmpl w:val="3830EA3C"/>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 w15:restartNumberingAfterBreak="0">
    <w:nsid w:val="22944B55"/>
    <w:multiLevelType w:val="hybridMultilevel"/>
    <w:tmpl w:val="77F46EE0"/>
    <w:lvl w:ilvl="0" w:tplc="041B0019">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3AE9378A"/>
    <w:multiLevelType w:val="hybridMultilevel"/>
    <w:tmpl w:val="59C417BC"/>
    <w:lvl w:ilvl="0" w:tplc="09988052">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405945E4"/>
    <w:multiLevelType w:val="hybridMultilevel"/>
    <w:tmpl w:val="0A90A9C2"/>
    <w:lvl w:ilvl="0" w:tplc="44F6F018">
      <w:numFmt w:val="bullet"/>
      <w:lvlText w:val="-"/>
      <w:lvlJc w:val="left"/>
      <w:pPr>
        <w:ind w:left="720" w:hanging="360"/>
      </w:pPr>
      <w:rPr>
        <w:rFonts w:ascii="Tahoma" w:eastAsia="Times New Roman" w:hAnsi="Tahoma" w:hint="default"/>
        <w:color w:val="00000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3FA188C"/>
    <w:multiLevelType w:val="hybridMultilevel"/>
    <w:tmpl w:val="E02446C4"/>
    <w:lvl w:ilvl="0" w:tplc="44F6F018">
      <w:numFmt w:val="bullet"/>
      <w:lvlText w:val="-"/>
      <w:lvlJc w:val="left"/>
      <w:pPr>
        <w:ind w:left="720" w:hanging="360"/>
      </w:pPr>
      <w:rPr>
        <w:rFonts w:ascii="Tahoma" w:eastAsia="Times New Roman" w:hAnsi="Tahoma" w:hint="default"/>
        <w:color w:val="000000"/>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FE5507B"/>
    <w:multiLevelType w:val="hybridMultilevel"/>
    <w:tmpl w:val="3B1886C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56A53ADB"/>
    <w:multiLevelType w:val="hybridMultilevel"/>
    <w:tmpl w:val="5DC24DB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57B80660"/>
    <w:multiLevelType w:val="hybridMultilevel"/>
    <w:tmpl w:val="7EF61648"/>
    <w:lvl w:ilvl="0" w:tplc="F5100C92">
      <w:numFmt w:val="bullet"/>
      <w:lvlText w:val="-"/>
      <w:lvlJc w:val="left"/>
      <w:pPr>
        <w:ind w:left="360" w:hanging="360"/>
      </w:pPr>
      <w:rPr>
        <w:rFonts w:ascii="Times New Roman" w:eastAsia="Times New Roman" w:hAnsi="Times New Roman"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11" w15:restartNumberingAfterBreak="0">
    <w:nsid w:val="5BE65E80"/>
    <w:multiLevelType w:val="hybridMultilevel"/>
    <w:tmpl w:val="3F74CB98"/>
    <w:lvl w:ilvl="0" w:tplc="7D082A3A">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12" w15:restartNumberingAfterBreak="0">
    <w:nsid w:val="680D07DD"/>
    <w:multiLevelType w:val="hybridMultilevel"/>
    <w:tmpl w:val="AA061B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70664A2B"/>
    <w:multiLevelType w:val="hybridMultilevel"/>
    <w:tmpl w:val="9B6604A4"/>
    <w:lvl w:ilvl="0" w:tplc="34840008">
      <w:numFmt w:val="bullet"/>
      <w:lvlText w:val="•"/>
      <w:lvlJc w:val="left"/>
      <w:pPr>
        <w:ind w:left="1080" w:hanging="72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722304F1"/>
    <w:multiLevelType w:val="hybridMultilevel"/>
    <w:tmpl w:val="722304F1"/>
    <w:lvl w:ilvl="0" w:tplc="98325946">
      <w:start w:val="1"/>
      <w:numFmt w:val="bullet"/>
      <w:lvlText w:val=""/>
      <w:lvlJc w:val="left"/>
      <w:pPr>
        <w:ind w:left="720" w:hanging="360"/>
      </w:pPr>
      <w:rPr>
        <w:rFonts w:ascii="Symbol" w:hAnsi="Symbol"/>
      </w:rPr>
    </w:lvl>
    <w:lvl w:ilvl="1" w:tplc="5486E8EA">
      <w:start w:val="1"/>
      <w:numFmt w:val="bullet"/>
      <w:lvlText w:val="o"/>
      <w:lvlJc w:val="left"/>
      <w:pPr>
        <w:tabs>
          <w:tab w:val="num" w:pos="1440"/>
        </w:tabs>
        <w:ind w:left="1440" w:hanging="360"/>
      </w:pPr>
      <w:rPr>
        <w:rFonts w:ascii="Courier New" w:hAnsi="Courier New"/>
      </w:rPr>
    </w:lvl>
    <w:lvl w:ilvl="2" w:tplc="E6D4E408">
      <w:start w:val="1"/>
      <w:numFmt w:val="bullet"/>
      <w:lvlText w:val=""/>
      <w:lvlJc w:val="left"/>
      <w:pPr>
        <w:tabs>
          <w:tab w:val="num" w:pos="2160"/>
        </w:tabs>
        <w:ind w:left="2160" w:hanging="360"/>
      </w:pPr>
      <w:rPr>
        <w:rFonts w:ascii="Wingdings" w:hAnsi="Wingdings"/>
      </w:rPr>
    </w:lvl>
    <w:lvl w:ilvl="3" w:tplc="C0C87456">
      <w:start w:val="1"/>
      <w:numFmt w:val="bullet"/>
      <w:lvlText w:val=""/>
      <w:lvlJc w:val="left"/>
      <w:pPr>
        <w:tabs>
          <w:tab w:val="num" w:pos="2880"/>
        </w:tabs>
        <w:ind w:left="2880" w:hanging="360"/>
      </w:pPr>
      <w:rPr>
        <w:rFonts w:ascii="Symbol" w:hAnsi="Symbol"/>
      </w:rPr>
    </w:lvl>
    <w:lvl w:ilvl="4" w:tplc="9CDE6B7E">
      <w:start w:val="1"/>
      <w:numFmt w:val="bullet"/>
      <w:lvlText w:val="o"/>
      <w:lvlJc w:val="left"/>
      <w:pPr>
        <w:tabs>
          <w:tab w:val="num" w:pos="3600"/>
        </w:tabs>
        <w:ind w:left="3600" w:hanging="360"/>
      </w:pPr>
      <w:rPr>
        <w:rFonts w:ascii="Courier New" w:hAnsi="Courier New"/>
      </w:rPr>
    </w:lvl>
    <w:lvl w:ilvl="5" w:tplc="19240170">
      <w:start w:val="1"/>
      <w:numFmt w:val="bullet"/>
      <w:lvlText w:val=""/>
      <w:lvlJc w:val="left"/>
      <w:pPr>
        <w:tabs>
          <w:tab w:val="num" w:pos="4320"/>
        </w:tabs>
        <w:ind w:left="4320" w:hanging="360"/>
      </w:pPr>
      <w:rPr>
        <w:rFonts w:ascii="Wingdings" w:hAnsi="Wingdings"/>
      </w:rPr>
    </w:lvl>
    <w:lvl w:ilvl="6" w:tplc="7DE2B828">
      <w:start w:val="1"/>
      <w:numFmt w:val="bullet"/>
      <w:lvlText w:val=""/>
      <w:lvlJc w:val="left"/>
      <w:pPr>
        <w:tabs>
          <w:tab w:val="num" w:pos="5040"/>
        </w:tabs>
        <w:ind w:left="5040" w:hanging="360"/>
      </w:pPr>
      <w:rPr>
        <w:rFonts w:ascii="Symbol" w:hAnsi="Symbol"/>
      </w:rPr>
    </w:lvl>
    <w:lvl w:ilvl="7" w:tplc="8C9832F4">
      <w:start w:val="1"/>
      <w:numFmt w:val="bullet"/>
      <w:lvlText w:val="o"/>
      <w:lvlJc w:val="left"/>
      <w:pPr>
        <w:tabs>
          <w:tab w:val="num" w:pos="5760"/>
        </w:tabs>
        <w:ind w:left="5760" w:hanging="360"/>
      </w:pPr>
      <w:rPr>
        <w:rFonts w:ascii="Courier New" w:hAnsi="Courier New"/>
      </w:rPr>
    </w:lvl>
    <w:lvl w:ilvl="8" w:tplc="2BC0D974">
      <w:start w:val="1"/>
      <w:numFmt w:val="bullet"/>
      <w:lvlText w:val=""/>
      <w:lvlJc w:val="left"/>
      <w:pPr>
        <w:tabs>
          <w:tab w:val="num" w:pos="6480"/>
        </w:tabs>
        <w:ind w:left="6480" w:hanging="360"/>
      </w:pPr>
      <w:rPr>
        <w:rFonts w:ascii="Wingdings" w:hAnsi="Wingdings"/>
      </w:rPr>
    </w:lvl>
  </w:abstractNum>
  <w:abstractNum w:abstractNumId="15" w15:restartNumberingAfterBreak="0">
    <w:nsid w:val="73334E3A"/>
    <w:multiLevelType w:val="hybridMultilevel"/>
    <w:tmpl w:val="8916B8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4F124BA"/>
    <w:multiLevelType w:val="hybridMultilevel"/>
    <w:tmpl w:val="663EBA34"/>
    <w:lvl w:ilvl="0" w:tplc="08090003">
      <w:start w:val="1"/>
      <w:numFmt w:val="bullet"/>
      <w:lvlText w:val="o"/>
      <w:lvlJc w:val="left"/>
      <w:pPr>
        <w:ind w:left="1080" w:hanging="360"/>
      </w:pPr>
      <w:rPr>
        <w:rFonts w:ascii="Courier New" w:hAnsi="Courier New"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59C3B0E"/>
    <w:multiLevelType w:val="hybridMultilevel"/>
    <w:tmpl w:val="E00EF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7"/>
  </w:num>
  <w:num w:numId="4">
    <w:abstractNumId w:val="8"/>
  </w:num>
  <w:num w:numId="5">
    <w:abstractNumId w:val="14"/>
  </w:num>
  <w:num w:numId="6">
    <w:abstractNumId w:val="10"/>
    <w:lvlOverride w:ilvl="0"/>
    <w:lvlOverride w:ilvl="1"/>
    <w:lvlOverride w:ilvl="2"/>
    <w:lvlOverride w:ilvl="3"/>
    <w:lvlOverride w:ilvl="4"/>
    <w:lvlOverride w:ilvl="5"/>
    <w:lvlOverride w:ilvl="6"/>
    <w:lvlOverride w:ilvl="7"/>
    <w:lvlOverride w:ilvl="8"/>
  </w:num>
  <w:num w:numId="7">
    <w:abstractNumId w:val="5"/>
  </w:num>
  <w:num w:numId="8">
    <w:abstractNumId w:val="4"/>
  </w:num>
  <w:num w:numId="9">
    <w:abstractNumId w:val="15"/>
  </w:num>
  <w:num w:numId="10">
    <w:abstractNumId w:val="6"/>
  </w:num>
  <w:num w:numId="11">
    <w:abstractNumId w:val="9"/>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2"/>
  </w:num>
  <w:num w:numId="16">
    <w:abstractNumId w:val="0"/>
  </w:num>
  <w:num w:numId="17">
    <w:abstractNumId w:val="2"/>
  </w:num>
  <w:num w:numId="18">
    <w:abstractNumId w:val="13"/>
  </w:num>
  <w:num w:numId="19">
    <w:abstractNumId w:val="17"/>
  </w:num>
  <w:num w:numId="20">
    <w:abstractNumId w:val="17"/>
    <w:lvlOverride w:ilvl="0"/>
    <w:lvlOverride w:ilvl="1"/>
    <w:lvlOverride w:ilvl="2"/>
    <w:lvlOverride w:ilvl="3"/>
    <w:lvlOverride w:ilvl="4"/>
    <w:lvlOverride w:ilvl="5"/>
    <w:lvlOverride w:ilvl="6"/>
    <w:lvlOverride w:ilvl="7"/>
    <w:lvlOverride w:ilv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oNotTrackFormatting/>
  <w:defaultTabStop w:val="720"/>
  <w:hyphenationZone w:val="425"/>
  <w:characterSpacingControl w:val="doNotCompress"/>
  <w:doNotValidateAgainstSchema/>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80F"/>
    <w:rsid w:val="000025D4"/>
    <w:rsid w:val="00003768"/>
    <w:rsid w:val="00005E58"/>
    <w:rsid w:val="00006815"/>
    <w:rsid w:val="00012036"/>
    <w:rsid w:val="00020A3B"/>
    <w:rsid w:val="00022027"/>
    <w:rsid w:val="00022581"/>
    <w:rsid w:val="00023656"/>
    <w:rsid w:val="000263D0"/>
    <w:rsid w:val="00030388"/>
    <w:rsid w:val="000334DC"/>
    <w:rsid w:val="00033ED0"/>
    <w:rsid w:val="00035D54"/>
    <w:rsid w:val="000373CC"/>
    <w:rsid w:val="00040C21"/>
    <w:rsid w:val="00043F1B"/>
    <w:rsid w:val="00044317"/>
    <w:rsid w:val="00047A8B"/>
    <w:rsid w:val="000501CE"/>
    <w:rsid w:val="000509A9"/>
    <w:rsid w:val="00054B9D"/>
    <w:rsid w:val="00070909"/>
    <w:rsid w:val="00072ADD"/>
    <w:rsid w:val="00072D13"/>
    <w:rsid w:val="00075A3D"/>
    <w:rsid w:val="000763CE"/>
    <w:rsid w:val="0007647C"/>
    <w:rsid w:val="000802E1"/>
    <w:rsid w:val="00080DBB"/>
    <w:rsid w:val="000843F6"/>
    <w:rsid w:val="00085D46"/>
    <w:rsid w:val="00090447"/>
    <w:rsid w:val="00091661"/>
    <w:rsid w:val="0009322A"/>
    <w:rsid w:val="00096DB2"/>
    <w:rsid w:val="000A1D6F"/>
    <w:rsid w:val="000B45D2"/>
    <w:rsid w:val="000B4BCB"/>
    <w:rsid w:val="000C00D9"/>
    <w:rsid w:val="000C4522"/>
    <w:rsid w:val="000D0988"/>
    <w:rsid w:val="000D102F"/>
    <w:rsid w:val="000D2F3A"/>
    <w:rsid w:val="000D5B23"/>
    <w:rsid w:val="000D7B8A"/>
    <w:rsid w:val="000E0D8B"/>
    <w:rsid w:val="000E59C2"/>
    <w:rsid w:val="000E6AAB"/>
    <w:rsid w:val="000F2AD4"/>
    <w:rsid w:val="000F6A06"/>
    <w:rsid w:val="00100D42"/>
    <w:rsid w:val="00105492"/>
    <w:rsid w:val="00105B99"/>
    <w:rsid w:val="001077D6"/>
    <w:rsid w:val="00107F43"/>
    <w:rsid w:val="001107EF"/>
    <w:rsid w:val="0011175A"/>
    <w:rsid w:val="0011189B"/>
    <w:rsid w:val="00111DE6"/>
    <w:rsid w:val="00112D54"/>
    <w:rsid w:val="001237E5"/>
    <w:rsid w:val="00123907"/>
    <w:rsid w:val="0012416B"/>
    <w:rsid w:val="00124AA0"/>
    <w:rsid w:val="00131D3B"/>
    <w:rsid w:val="001334C6"/>
    <w:rsid w:val="00133BBE"/>
    <w:rsid w:val="00135758"/>
    <w:rsid w:val="00141C99"/>
    <w:rsid w:val="00152171"/>
    <w:rsid w:val="001537C7"/>
    <w:rsid w:val="0015656E"/>
    <w:rsid w:val="001567ED"/>
    <w:rsid w:val="00156D38"/>
    <w:rsid w:val="00162724"/>
    <w:rsid w:val="001628E1"/>
    <w:rsid w:val="00162C56"/>
    <w:rsid w:val="00165C14"/>
    <w:rsid w:val="0017531D"/>
    <w:rsid w:val="001815F4"/>
    <w:rsid w:val="00183EFC"/>
    <w:rsid w:val="0019298C"/>
    <w:rsid w:val="00194B7B"/>
    <w:rsid w:val="001A01F3"/>
    <w:rsid w:val="001A0CE0"/>
    <w:rsid w:val="001A2228"/>
    <w:rsid w:val="001A641C"/>
    <w:rsid w:val="001A649A"/>
    <w:rsid w:val="001B58E3"/>
    <w:rsid w:val="001B5F25"/>
    <w:rsid w:val="001C03F7"/>
    <w:rsid w:val="001C1AA3"/>
    <w:rsid w:val="001C1EC9"/>
    <w:rsid w:val="001C6D01"/>
    <w:rsid w:val="001D0196"/>
    <w:rsid w:val="001D03CA"/>
    <w:rsid w:val="001D03F1"/>
    <w:rsid w:val="001D16FA"/>
    <w:rsid w:val="001D232B"/>
    <w:rsid w:val="001D327F"/>
    <w:rsid w:val="001D6E9A"/>
    <w:rsid w:val="001D7A39"/>
    <w:rsid w:val="001E2508"/>
    <w:rsid w:val="001E4FC5"/>
    <w:rsid w:val="001E6171"/>
    <w:rsid w:val="001E6CA2"/>
    <w:rsid w:val="001F0A99"/>
    <w:rsid w:val="001F1685"/>
    <w:rsid w:val="001F1DE0"/>
    <w:rsid w:val="001F25C5"/>
    <w:rsid w:val="001F2B09"/>
    <w:rsid w:val="001F57B0"/>
    <w:rsid w:val="001F7339"/>
    <w:rsid w:val="002027A1"/>
    <w:rsid w:val="00203E95"/>
    <w:rsid w:val="0020790A"/>
    <w:rsid w:val="0020793E"/>
    <w:rsid w:val="00212DCC"/>
    <w:rsid w:val="002137D9"/>
    <w:rsid w:val="002166E5"/>
    <w:rsid w:val="00216918"/>
    <w:rsid w:val="00220242"/>
    <w:rsid w:val="00220F3E"/>
    <w:rsid w:val="0022172A"/>
    <w:rsid w:val="002309BE"/>
    <w:rsid w:val="00232023"/>
    <w:rsid w:val="0023509A"/>
    <w:rsid w:val="00237BB7"/>
    <w:rsid w:val="0024284B"/>
    <w:rsid w:val="00242D86"/>
    <w:rsid w:val="00251DF3"/>
    <w:rsid w:val="0025246C"/>
    <w:rsid w:val="0025499E"/>
    <w:rsid w:val="002600E7"/>
    <w:rsid w:val="002644C0"/>
    <w:rsid w:val="002651B5"/>
    <w:rsid w:val="002715EF"/>
    <w:rsid w:val="00274FF4"/>
    <w:rsid w:val="00283BF7"/>
    <w:rsid w:val="00283EDE"/>
    <w:rsid w:val="00284D0F"/>
    <w:rsid w:val="0028579F"/>
    <w:rsid w:val="00287034"/>
    <w:rsid w:val="00292295"/>
    <w:rsid w:val="0029274A"/>
    <w:rsid w:val="002930B3"/>
    <w:rsid w:val="00293BB3"/>
    <w:rsid w:val="0029429E"/>
    <w:rsid w:val="002A0EC2"/>
    <w:rsid w:val="002A5097"/>
    <w:rsid w:val="002B3DEE"/>
    <w:rsid w:val="002B7CA0"/>
    <w:rsid w:val="002C173D"/>
    <w:rsid w:val="002C3C8D"/>
    <w:rsid w:val="002C6995"/>
    <w:rsid w:val="002D1124"/>
    <w:rsid w:val="002D442D"/>
    <w:rsid w:val="002D4505"/>
    <w:rsid w:val="002D5958"/>
    <w:rsid w:val="002D6024"/>
    <w:rsid w:val="002E0373"/>
    <w:rsid w:val="002E459E"/>
    <w:rsid w:val="002E5052"/>
    <w:rsid w:val="002E5BFC"/>
    <w:rsid w:val="002F0B3A"/>
    <w:rsid w:val="002F4412"/>
    <w:rsid w:val="0030124A"/>
    <w:rsid w:val="003025A6"/>
    <w:rsid w:val="00306BD5"/>
    <w:rsid w:val="00320E0F"/>
    <w:rsid w:val="00323A19"/>
    <w:rsid w:val="0032413C"/>
    <w:rsid w:val="00324FB7"/>
    <w:rsid w:val="0032577D"/>
    <w:rsid w:val="00325A31"/>
    <w:rsid w:val="00326035"/>
    <w:rsid w:val="0032761C"/>
    <w:rsid w:val="003279A2"/>
    <w:rsid w:val="003303BC"/>
    <w:rsid w:val="003309FA"/>
    <w:rsid w:val="0033174B"/>
    <w:rsid w:val="003332BA"/>
    <w:rsid w:val="0033599F"/>
    <w:rsid w:val="003426DC"/>
    <w:rsid w:val="00343A80"/>
    <w:rsid w:val="00345365"/>
    <w:rsid w:val="00345385"/>
    <w:rsid w:val="00345972"/>
    <w:rsid w:val="00345F0E"/>
    <w:rsid w:val="0035119D"/>
    <w:rsid w:val="00351BED"/>
    <w:rsid w:val="003526FC"/>
    <w:rsid w:val="00352709"/>
    <w:rsid w:val="00353222"/>
    <w:rsid w:val="003534B1"/>
    <w:rsid w:val="00355B9D"/>
    <w:rsid w:val="00356537"/>
    <w:rsid w:val="00356768"/>
    <w:rsid w:val="003653EC"/>
    <w:rsid w:val="003657B2"/>
    <w:rsid w:val="00371A99"/>
    <w:rsid w:val="003727A6"/>
    <w:rsid w:val="003737A4"/>
    <w:rsid w:val="00385274"/>
    <w:rsid w:val="0038754D"/>
    <w:rsid w:val="003877F7"/>
    <w:rsid w:val="00393580"/>
    <w:rsid w:val="00396621"/>
    <w:rsid w:val="00397CA0"/>
    <w:rsid w:val="003A3C9E"/>
    <w:rsid w:val="003A4597"/>
    <w:rsid w:val="003A7CA9"/>
    <w:rsid w:val="003B38FE"/>
    <w:rsid w:val="003C04E0"/>
    <w:rsid w:val="003D0252"/>
    <w:rsid w:val="003D19D6"/>
    <w:rsid w:val="003D4EF3"/>
    <w:rsid w:val="003E59E8"/>
    <w:rsid w:val="003E6D5A"/>
    <w:rsid w:val="003E7AC2"/>
    <w:rsid w:val="003F055D"/>
    <w:rsid w:val="003F18AA"/>
    <w:rsid w:val="003F1D8C"/>
    <w:rsid w:val="003F2161"/>
    <w:rsid w:val="003F24A6"/>
    <w:rsid w:val="004005A7"/>
    <w:rsid w:val="004006F6"/>
    <w:rsid w:val="00400FEA"/>
    <w:rsid w:val="004024F1"/>
    <w:rsid w:val="004029AC"/>
    <w:rsid w:val="004040AD"/>
    <w:rsid w:val="00404F1F"/>
    <w:rsid w:val="00404FB2"/>
    <w:rsid w:val="00410B7F"/>
    <w:rsid w:val="00414DEF"/>
    <w:rsid w:val="00415DAC"/>
    <w:rsid w:val="004221F1"/>
    <w:rsid w:val="004323A2"/>
    <w:rsid w:val="00434152"/>
    <w:rsid w:val="004351A3"/>
    <w:rsid w:val="0043620B"/>
    <w:rsid w:val="00441BF2"/>
    <w:rsid w:val="0045129C"/>
    <w:rsid w:val="004548A0"/>
    <w:rsid w:val="00454E68"/>
    <w:rsid w:val="00455C4A"/>
    <w:rsid w:val="004569CE"/>
    <w:rsid w:val="00461A2B"/>
    <w:rsid w:val="00461CE0"/>
    <w:rsid w:val="004636D6"/>
    <w:rsid w:val="0046486E"/>
    <w:rsid w:val="0047244C"/>
    <w:rsid w:val="00472A0E"/>
    <w:rsid w:val="00475C77"/>
    <w:rsid w:val="0048271F"/>
    <w:rsid w:val="00484DA8"/>
    <w:rsid w:val="004919A2"/>
    <w:rsid w:val="0049201D"/>
    <w:rsid w:val="00492543"/>
    <w:rsid w:val="004931CE"/>
    <w:rsid w:val="00497C43"/>
    <w:rsid w:val="004A22D2"/>
    <w:rsid w:val="004A4326"/>
    <w:rsid w:val="004A4408"/>
    <w:rsid w:val="004A5D36"/>
    <w:rsid w:val="004B0A5B"/>
    <w:rsid w:val="004B5692"/>
    <w:rsid w:val="004B5948"/>
    <w:rsid w:val="004C1F88"/>
    <w:rsid w:val="004C270D"/>
    <w:rsid w:val="004D2502"/>
    <w:rsid w:val="004D4E12"/>
    <w:rsid w:val="004E2677"/>
    <w:rsid w:val="004E5A37"/>
    <w:rsid w:val="004F140C"/>
    <w:rsid w:val="004F2F16"/>
    <w:rsid w:val="004F696C"/>
    <w:rsid w:val="00500A19"/>
    <w:rsid w:val="0050119E"/>
    <w:rsid w:val="00501591"/>
    <w:rsid w:val="00503188"/>
    <w:rsid w:val="00506679"/>
    <w:rsid w:val="005069A0"/>
    <w:rsid w:val="00506F02"/>
    <w:rsid w:val="005078FF"/>
    <w:rsid w:val="00512541"/>
    <w:rsid w:val="00514D5B"/>
    <w:rsid w:val="00516577"/>
    <w:rsid w:val="00517DB9"/>
    <w:rsid w:val="005260C7"/>
    <w:rsid w:val="00530D47"/>
    <w:rsid w:val="00531C9C"/>
    <w:rsid w:val="00535A09"/>
    <w:rsid w:val="00537DF8"/>
    <w:rsid w:val="00542624"/>
    <w:rsid w:val="00551765"/>
    <w:rsid w:val="00560CBF"/>
    <w:rsid w:val="00562FE2"/>
    <w:rsid w:val="00564715"/>
    <w:rsid w:val="005650D3"/>
    <w:rsid w:val="00565746"/>
    <w:rsid w:val="005678B7"/>
    <w:rsid w:val="0057060A"/>
    <w:rsid w:val="005707A1"/>
    <w:rsid w:val="00571174"/>
    <w:rsid w:val="0058049E"/>
    <w:rsid w:val="0058342B"/>
    <w:rsid w:val="0058530F"/>
    <w:rsid w:val="00586441"/>
    <w:rsid w:val="0059025C"/>
    <w:rsid w:val="005938AC"/>
    <w:rsid w:val="00595FB6"/>
    <w:rsid w:val="005A3913"/>
    <w:rsid w:val="005A4B85"/>
    <w:rsid w:val="005A63E6"/>
    <w:rsid w:val="005A7F0E"/>
    <w:rsid w:val="005B3B6F"/>
    <w:rsid w:val="005B5710"/>
    <w:rsid w:val="005B598B"/>
    <w:rsid w:val="005B62D9"/>
    <w:rsid w:val="005B701A"/>
    <w:rsid w:val="005C68D8"/>
    <w:rsid w:val="005D0B7E"/>
    <w:rsid w:val="005D1ACD"/>
    <w:rsid w:val="005D2372"/>
    <w:rsid w:val="005D6B6D"/>
    <w:rsid w:val="005E081B"/>
    <w:rsid w:val="005E1D2B"/>
    <w:rsid w:val="005E204E"/>
    <w:rsid w:val="005E5415"/>
    <w:rsid w:val="005E66F6"/>
    <w:rsid w:val="005E783C"/>
    <w:rsid w:val="005F0577"/>
    <w:rsid w:val="005F22EF"/>
    <w:rsid w:val="005F2348"/>
    <w:rsid w:val="005F43CF"/>
    <w:rsid w:val="005F4952"/>
    <w:rsid w:val="00600D4B"/>
    <w:rsid w:val="006013B6"/>
    <w:rsid w:val="00602377"/>
    <w:rsid w:val="00603579"/>
    <w:rsid w:val="006046BF"/>
    <w:rsid w:val="006118A9"/>
    <w:rsid w:val="00612B7A"/>
    <w:rsid w:val="00612D36"/>
    <w:rsid w:val="00613537"/>
    <w:rsid w:val="006160DB"/>
    <w:rsid w:val="00617234"/>
    <w:rsid w:val="00617695"/>
    <w:rsid w:val="00620786"/>
    <w:rsid w:val="00622D9B"/>
    <w:rsid w:val="00627BF3"/>
    <w:rsid w:val="00630A5F"/>
    <w:rsid w:val="00630B9E"/>
    <w:rsid w:val="006319ED"/>
    <w:rsid w:val="00641410"/>
    <w:rsid w:val="00641AD0"/>
    <w:rsid w:val="00643B16"/>
    <w:rsid w:val="0064649A"/>
    <w:rsid w:val="00646ACE"/>
    <w:rsid w:val="0064724D"/>
    <w:rsid w:val="006472FB"/>
    <w:rsid w:val="00650893"/>
    <w:rsid w:val="0065257A"/>
    <w:rsid w:val="006526AE"/>
    <w:rsid w:val="00652DD8"/>
    <w:rsid w:val="006536FB"/>
    <w:rsid w:val="0065370E"/>
    <w:rsid w:val="006623F4"/>
    <w:rsid w:val="00663CED"/>
    <w:rsid w:val="00664680"/>
    <w:rsid w:val="00665A84"/>
    <w:rsid w:val="00672D37"/>
    <w:rsid w:val="00676B13"/>
    <w:rsid w:val="00676D78"/>
    <w:rsid w:val="0068173E"/>
    <w:rsid w:val="0068550A"/>
    <w:rsid w:val="0068719B"/>
    <w:rsid w:val="006874D8"/>
    <w:rsid w:val="00690613"/>
    <w:rsid w:val="006B0FF2"/>
    <w:rsid w:val="006B1BFD"/>
    <w:rsid w:val="006B2CF9"/>
    <w:rsid w:val="006B5540"/>
    <w:rsid w:val="006B66B2"/>
    <w:rsid w:val="006B73F2"/>
    <w:rsid w:val="006C58AA"/>
    <w:rsid w:val="006C6E2B"/>
    <w:rsid w:val="006D057C"/>
    <w:rsid w:val="006D40E7"/>
    <w:rsid w:val="006D779E"/>
    <w:rsid w:val="006D7A2A"/>
    <w:rsid w:val="006E3746"/>
    <w:rsid w:val="006E37A0"/>
    <w:rsid w:val="006F4E66"/>
    <w:rsid w:val="006F60CA"/>
    <w:rsid w:val="006F6A03"/>
    <w:rsid w:val="006F769C"/>
    <w:rsid w:val="00700082"/>
    <w:rsid w:val="00701C57"/>
    <w:rsid w:val="00701DA6"/>
    <w:rsid w:val="007073A2"/>
    <w:rsid w:val="0071094E"/>
    <w:rsid w:val="00716541"/>
    <w:rsid w:val="00716F7E"/>
    <w:rsid w:val="00717A34"/>
    <w:rsid w:val="00717D32"/>
    <w:rsid w:val="00722F79"/>
    <w:rsid w:val="007300A2"/>
    <w:rsid w:val="00731DFC"/>
    <w:rsid w:val="00732636"/>
    <w:rsid w:val="00732A87"/>
    <w:rsid w:val="00733374"/>
    <w:rsid w:val="007355AF"/>
    <w:rsid w:val="00735F25"/>
    <w:rsid w:val="00740551"/>
    <w:rsid w:val="00740E48"/>
    <w:rsid w:val="00743C70"/>
    <w:rsid w:val="00743F87"/>
    <w:rsid w:val="00744355"/>
    <w:rsid w:val="00746C88"/>
    <w:rsid w:val="00746D56"/>
    <w:rsid w:val="00755381"/>
    <w:rsid w:val="00755458"/>
    <w:rsid w:val="00756B74"/>
    <w:rsid w:val="007577D0"/>
    <w:rsid w:val="00757A01"/>
    <w:rsid w:val="00760434"/>
    <w:rsid w:val="00761696"/>
    <w:rsid w:val="00762403"/>
    <w:rsid w:val="00765B72"/>
    <w:rsid w:val="00772BF2"/>
    <w:rsid w:val="00773D11"/>
    <w:rsid w:val="007763B9"/>
    <w:rsid w:val="00781E88"/>
    <w:rsid w:val="0078628D"/>
    <w:rsid w:val="00786593"/>
    <w:rsid w:val="00786F36"/>
    <w:rsid w:val="00787432"/>
    <w:rsid w:val="00787A77"/>
    <w:rsid w:val="007946AE"/>
    <w:rsid w:val="007A0AAA"/>
    <w:rsid w:val="007A14F6"/>
    <w:rsid w:val="007A3951"/>
    <w:rsid w:val="007A403C"/>
    <w:rsid w:val="007A7901"/>
    <w:rsid w:val="007B5549"/>
    <w:rsid w:val="007B6758"/>
    <w:rsid w:val="007C37B4"/>
    <w:rsid w:val="007C5993"/>
    <w:rsid w:val="007D1D50"/>
    <w:rsid w:val="007D3489"/>
    <w:rsid w:val="007E0584"/>
    <w:rsid w:val="007E326F"/>
    <w:rsid w:val="007E32EE"/>
    <w:rsid w:val="007E3A1A"/>
    <w:rsid w:val="007E75EE"/>
    <w:rsid w:val="007F3221"/>
    <w:rsid w:val="007F4A0E"/>
    <w:rsid w:val="007F5B6A"/>
    <w:rsid w:val="007F7466"/>
    <w:rsid w:val="007F755D"/>
    <w:rsid w:val="008016E7"/>
    <w:rsid w:val="00802658"/>
    <w:rsid w:val="00806558"/>
    <w:rsid w:val="00807CB3"/>
    <w:rsid w:val="00817D97"/>
    <w:rsid w:val="008206D4"/>
    <w:rsid w:val="00825149"/>
    <w:rsid w:val="00831E72"/>
    <w:rsid w:val="0083212F"/>
    <w:rsid w:val="00832200"/>
    <w:rsid w:val="008343DA"/>
    <w:rsid w:val="00834A1A"/>
    <w:rsid w:val="00842317"/>
    <w:rsid w:val="008434A6"/>
    <w:rsid w:val="00845ED9"/>
    <w:rsid w:val="00846095"/>
    <w:rsid w:val="0085531A"/>
    <w:rsid w:val="008553AA"/>
    <w:rsid w:val="008566EB"/>
    <w:rsid w:val="00856E2C"/>
    <w:rsid w:val="00856FFA"/>
    <w:rsid w:val="00862CEA"/>
    <w:rsid w:val="00863875"/>
    <w:rsid w:val="00863922"/>
    <w:rsid w:val="0086425A"/>
    <w:rsid w:val="008654F0"/>
    <w:rsid w:val="00870089"/>
    <w:rsid w:val="0087187C"/>
    <w:rsid w:val="008808BE"/>
    <w:rsid w:val="008818DD"/>
    <w:rsid w:val="0088195C"/>
    <w:rsid w:val="00881A93"/>
    <w:rsid w:val="00884774"/>
    <w:rsid w:val="00885687"/>
    <w:rsid w:val="00885FCE"/>
    <w:rsid w:val="0089203E"/>
    <w:rsid w:val="008946EC"/>
    <w:rsid w:val="00896081"/>
    <w:rsid w:val="0089656A"/>
    <w:rsid w:val="00897FF6"/>
    <w:rsid w:val="008A066A"/>
    <w:rsid w:val="008A0DCB"/>
    <w:rsid w:val="008A2674"/>
    <w:rsid w:val="008A290D"/>
    <w:rsid w:val="008A2D13"/>
    <w:rsid w:val="008A30BF"/>
    <w:rsid w:val="008A6B3E"/>
    <w:rsid w:val="008B0512"/>
    <w:rsid w:val="008B238E"/>
    <w:rsid w:val="008B5D62"/>
    <w:rsid w:val="008C202C"/>
    <w:rsid w:val="008C3E36"/>
    <w:rsid w:val="008C4AC0"/>
    <w:rsid w:val="008C5BF7"/>
    <w:rsid w:val="008C7793"/>
    <w:rsid w:val="008D054D"/>
    <w:rsid w:val="008D0780"/>
    <w:rsid w:val="008D0E33"/>
    <w:rsid w:val="008D196B"/>
    <w:rsid w:val="008D4318"/>
    <w:rsid w:val="008D58CD"/>
    <w:rsid w:val="008E02D5"/>
    <w:rsid w:val="008E06FB"/>
    <w:rsid w:val="008E2FFA"/>
    <w:rsid w:val="008E7E83"/>
    <w:rsid w:val="008F58B4"/>
    <w:rsid w:val="008F5BDD"/>
    <w:rsid w:val="008F76AB"/>
    <w:rsid w:val="009015ED"/>
    <w:rsid w:val="0090269F"/>
    <w:rsid w:val="009038B5"/>
    <w:rsid w:val="009042AC"/>
    <w:rsid w:val="00907C8A"/>
    <w:rsid w:val="00910B51"/>
    <w:rsid w:val="00910D04"/>
    <w:rsid w:val="009116E6"/>
    <w:rsid w:val="00921E68"/>
    <w:rsid w:val="009227B1"/>
    <w:rsid w:val="00922DCB"/>
    <w:rsid w:val="0092325B"/>
    <w:rsid w:val="00923A1F"/>
    <w:rsid w:val="009265E1"/>
    <w:rsid w:val="00926AFD"/>
    <w:rsid w:val="0093054E"/>
    <w:rsid w:val="00932CCF"/>
    <w:rsid w:val="0093402F"/>
    <w:rsid w:val="0093544D"/>
    <w:rsid w:val="00935C4D"/>
    <w:rsid w:val="00936293"/>
    <w:rsid w:val="009374AE"/>
    <w:rsid w:val="00937B03"/>
    <w:rsid w:val="009407FD"/>
    <w:rsid w:val="00941860"/>
    <w:rsid w:val="00947E6D"/>
    <w:rsid w:val="00962A0F"/>
    <w:rsid w:val="0096681A"/>
    <w:rsid w:val="0096693D"/>
    <w:rsid w:val="0097326B"/>
    <w:rsid w:val="00973A65"/>
    <w:rsid w:val="00975BC8"/>
    <w:rsid w:val="00984FB1"/>
    <w:rsid w:val="00984FC2"/>
    <w:rsid w:val="009860D3"/>
    <w:rsid w:val="0099108B"/>
    <w:rsid w:val="009913D0"/>
    <w:rsid w:val="00994CA9"/>
    <w:rsid w:val="00994F60"/>
    <w:rsid w:val="00997579"/>
    <w:rsid w:val="0099780F"/>
    <w:rsid w:val="009A098F"/>
    <w:rsid w:val="009A24DE"/>
    <w:rsid w:val="009A40D1"/>
    <w:rsid w:val="009A54B5"/>
    <w:rsid w:val="009A6827"/>
    <w:rsid w:val="009B22C6"/>
    <w:rsid w:val="009B58A2"/>
    <w:rsid w:val="009C4669"/>
    <w:rsid w:val="009C63F8"/>
    <w:rsid w:val="009C7BFC"/>
    <w:rsid w:val="009D05E8"/>
    <w:rsid w:val="009D760E"/>
    <w:rsid w:val="009E148D"/>
    <w:rsid w:val="009E3316"/>
    <w:rsid w:val="009E3B87"/>
    <w:rsid w:val="009E6216"/>
    <w:rsid w:val="009E642F"/>
    <w:rsid w:val="009F17EE"/>
    <w:rsid w:val="00A01DEC"/>
    <w:rsid w:val="00A02459"/>
    <w:rsid w:val="00A02B01"/>
    <w:rsid w:val="00A04FB7"/>
    <w:rsid w:val="00A05370"/>
    <w:rsid w:val="00A06808"/>
    <w:rsid w:val="00A0729F"/>
    <w:rsid w:val="00A0786C"/>
    <w:rsid w:val="00A125EE"/>
    <w:rsid w:val="00A12B61"/>
    <w:rsid w:val="00A22861"/>
    <w:rsid w:val="00A2685E"/>
    <w:rsid w:val="00A31603"/>
    <w:rsid w:val="00A318AB"/>
    <w:rsid w:val="00A352CC"/>
    <w:rsid w:val="00A35BAE"/>
    <w:rsid w:val="00A37A2E"/>
    <w:rsid w:val="00A40A0C"/>
    <w:rsid w:val="00A50845"/>
    <w:rsid w:val="00A50ADA"/>
    <w:rsid w:val="00A50CC9"/>
    <w:rsid w:val="00A568FC"/>
    <w:rsid w:val="00A6183D"/>
    <w:rsid w:val="00A63365"/>
    <w:rsid w:val="00A6344D"/>
    <w:rsid w:val="00A64A9C"/>
    <w:rsid w:val="00A65AB5"/>
    <w:rsid w:val="00A703C9"/>
    <w:rsid w:val="00A70D5E"/>
    <w:rsid w:val="00A7529C"/>
    <w:rsid w:val="00A7575F"/>
    <w:rsid w:val="00A7632C"/>
    <w:rsid w:val="00A81B86"/>
    <w:rsid w:val="00A81CD7"/>
    <w:rsid w:val="00A865C8"/>
    <w:rsid w:val="00A93EFD"/>
    <w:rsid w:val="00A953C9"/>
    <w:rsid w:val="00A95467"/>
    <w:rsid w:val="00AA288E"/>
    <w:rsid w:val="00AB1E7D"/>
    <w:rsid w:val="00AB2D0B"/>
    <w:rsid w:val="00AB32E2"/>
    <w:rsid w:val="00AB59C2"/>
    <w:rsid w:val="00AC07F4"/>
    <w:rsid w:val="00AC222D"/>
    <w:rsid w:val="00AC3213"/>
    <w:rsid w:val="00AC4B1E"/>
    <w:rsid w:val="00AD1139"/>
    <w:rsid w:val="00AD436E"/>
    <w:rsid w:val="00AD5C9B"/>
    <w:rsid w:val="00AE009E"/>
    <w:rsid w:val="00AE08FC"/>
    <w:rsid w:val="00AE10B2"/>
    <w:rsid w:val="00AE581A"/>
    <w:rsid w:val="00AF1545"/>
    <w:rsid w:val="00AF1670"/>
    <w:rsid w:val="00AF58FC"/>
    <w:rsid w:val="00AF6C70"/>
    <w:rsid w:val="00B0197A"/>
    <w:rsid w:val="00B021AB"/>
    <w:rsid w:val="00B07B0A"/>
    <w:rsid w:val="00B1191E"/>
    <w:rsid w:val="00B11E62"/>
    <w:rsid w:val="00B21A1B"/>
    <w:rsid w:val="00B24CA3"/>
    <w:rsid w:val="00B25734"/>
    <w:rsid w:val="00B30D13"/>
    <w:rsid w:val="00B32A2A"/>
    <w:rsid w:val="00B401C1"/>
    <w:rsid w:val="00B40AC3"/>
    <w:rsid w:val="00B4154A"/>
    <w:rsid w:val="00B42D3A"/>
    <w:rsid w:val="00B42D65"/>
    <w:rsid w:val="00B4478A"/>
    <w:rsid w:val="00B477D2"/>
    <w:rsid w:val="00B542AF"/>
    <w:rsid w:val="00B544BD"/>
    <w:rsid w:val="00B54C31"/>
    <w:rsid w:val="00B55714"/>
    <w:rsid w:val="00B565A7"/>
    <w:rsid w:val="00B61B05"/>
    <w:rsid w:val="00B62875"/>
    <w:rsid w:val="00B657FC"/>
    <w:rsid w:val="00B6638E"/>
    <w:rsid w:val="00B70205"/>
    <w:rsid w:val="00B70FE1"/>
    <w:rsid w:val="00B72646"/>
    <w:rsid w:val="00B73B80"/>
    <w:rsid w:val="00B748B3"/>
    <w:rsid w:val="00B74C31"/>
    <w:rsid w:val="00B765A5"/>
    <w:rsid w:val="00B80135"/>
    <w:rsid w:val="00B814AF"/>
    <w:rsid w:val="00B83159"/>
    <w:rsid w:val="00B85960"/>
    <w:rsid w:val="00B87400"/>
    <w:rsid w:val="00B9025C"/>
    <w:rsid w:val="00B93799"/>
    <w:rsid w:val="00B95BA3"/>
    <w:rsid w:val="00B95CF1"/>
    <w:rsid w:val="00B95F2C"/>
    <w:rsid w:val="00B979D1"/>
    <w:rsid w:val="00BA270C"/>
    <w:rsid w:val="00BA36D0"/>
    <w:rsid w:val="00BA53F1"/>
    <w:rsid w:val="00BA6FE3"/>
    <w:rsid w:val="00BB2D54"/>
    <w:rsid w:val="00BB2EBE"/>
    <w:rsid w:val="00BB4511"/>
    <w:rsid w:val="00BB503D"/>
    <w:rsid w:val="00BC24C0"/>
    <w:rsid w:val="00BC2FC9"/>
    <w:rsid w:val="00BC5154"/>
    <w:rsid w:val="00BD0F37"/>
    <w:rsid w:val="00BD1DD1"/>
    <w:rsid w:val="00BD20BD"/>
    <w:rsid w:val="00BD3337"/>
    <w:rsid w:val="00BD3B3B"/>
    <w:rsid w:val="00BD4042"/>
    <w:rsid w:val="00BD512F"/>
    <w:rsid w:val="00BE1F68"/>
    <w:rsid w:val="00BE22F2"/>
    <w:rsid w:val="00BE4FE2"/>
    <w:rsid w:val="00BE6390"/>
    <w:rsid w:val="00BE7480"/>
    <w:rsid w:val="00BF19E2"/>
    <w:rsid w:val="00BF29A1"/>
    <w:rsid w:val="00BF334B"/>
    <w:rsid w:val="00C02B4C"/>
    <w:rsid w:val="00C0483E"/>
    <w:rsid w:val="00C04E68"/>
    <w:rsid w:val="00C072B5"/>
    <w:rsid w:val="00C10CF6"/>
    <w:rsid w:val="00C1770F"/>
    <w:rsid w:val="00C22120"/>
    <w:rsid w:val="00C2296D"/>
    <w:rsid w:val="00C27E1C"/>
    <w:rsid w:val="00C35D8B"/>
    <w:rsid w:val="00C3713D"/>
    <w:rsid w:val="00C40574"/>
    <w:rsid w:val="00C422B8"/>
    <w:rsid w:val="00C457E1"/>
    <w:rsid w:val="00C504EC"/>
    <w:rsid w:val="00C51C53"/>
    <w:rsid w:val="00C53FA2"/>
    <w:rsid w:val="00C53FDE"/>
    <w:rsid w:val="00C56660"/>
    <w:rsid w:val="00C5676A"/>
    <w:rsid w:val="00C636E9"/>
    <w:rsid w:val="00C71961"/>
    <w:rsid w:val="00C764FA"/>
    <w:rsid w:val="00C76754"/>
    <w:rsid w:val="00C80622"/>
    <w:rsid w:val="00C84421"/>
    <w:rsid w:val="00C846BE"/>
    <w:rsid w:val="00C875CD"/>
    <w:rsid w:val="00C90B5F"/>
    <w:rsid w:val="00C90E82"/>
    <w:rsid w:val="00C91119"/>
    <w:rsid w:val="00C9128A"/>
    <w:rsid w:val="00C91329"/>
    <w:rsid w:val="00C94149"/>
    <w:rsid w:val="00C95D98"/>
    <w:rsid w:val="00CA2F2A"/>
    <w:rsid w:val="00CA4286"/>
    <w:rsid w:val="00CA511F"/>
    <w:rsid w:val="00CA7FF3"/>
    <w:rsid w:val="00CB2FD1"/>
    <w:rsid w:val="00CB69B3"/>
    <w:rsid w:val="00CC315F"/>
    <w:rsid w:val="00CC4A83"/>
    <w:rsid w:val="00CC5D0A"/>
    <w:rsid w:val="00CD1F11"/>
    <w:rsid w:val="00CE20F7"/>
    <w:rsid w:val="00CE3516"/>
    <w:rsid w:val="00CF1571"/>
    <w:rsid w:val="00CF2CDF"/>
    <w:rsid w:val="00CF319D"/>
    <w:rsid w:val="00CF4789"/>
    <w:rsid w:val="00CF61B9"/>
    <w:rsid w:val="00D00699"/>
    <w:rsid w:val="00D00FB2"/>
    <w:rsid w:val="00D0366E"/>
    <w:rsid w:val="00D05A06"/>
    <w:rsid w:val="00D06E45"/>
    <w:rsid w:val="00D14E89"/>
    <w:rsid w:val="00D154B9"/>
    <w:rsid w:val="00D20848"/>
    <w:rsid w:val="00D25607"/>
    <w:rsid w:val="00D257F3"/>
    <w:rsid w:val="00D2645D"/>
    <w:rsid w:val="00D330E2"/>
    <w:rsid w:val="00D34579"/>
    <w:rsid w:val="00D46AEC"/>
    <w:rsid w:val="00D47A57"/>
    <w:rsid w:val="00D52B07"/>
    <w:rsid w:val="00D54402"/>
    <w:rsid w:val="00D55A1D"/>
    <w:rsid w:val="00D57A86"/>
    <w:rsid w:val="00D57A8D"/>
    <w:rsid w:val="00D60C26"/>
    <w:rsid w:val="00D619C9"/>
    <w:rsid w:val="00D678F0"/>
    <w:rsid w:val="00D71CD7"/>
    <w:rsid w:val="00D721CE"/>
    <w:rsid w:val="00D82762"/>
    <w:rsid w:val="00D82F6E"/>
    <w:rsid w:val="00D842FA"/>
    <w:rsid w:val="00D849D0"/>
    <w:rsid w:val="00D84FD9"/>
    <w:rsid w:val="00D877AC"/>
    <w:rsid w:val="00D92D14"/>
    <w:rsid w:val="00D92F01"/>
    <w:rsid w:val="00D95DAC"/>
    <w:rsid w:val="00DA084D"/>
    <w:rsid w:val="00DA0FE5"/>
    <w:rsid w:val="00DA45DA"/>
    <w:rsid w:val="00DA583A"/>
    <w:rsid w:val="00DA633C"/>
    <w:rsid w:val="00DA77D0"/>
    <w:rsid w:val="00DB178E"/>
    <w:rsid w:val="00DB1CBB"/>
    <w:rsid w:val="00DB503B"/>
    <w:rsid w:val="00DB5A96"/>
    <w:rsid w:val="00DC306E"/>
    <w:rsid w:val="00DC3A7C"/>
    <w:rsid w:val="00DC5096"/>
    <w:rsid w:val="00DD3718"/>
    <w:rsid w:val="00DD52CE"/>
    <w:rsid w:val="00DE02C0"/>
    <w:rsid w:val="00DE4A1D"/>
    <w:rsid w:val="00DE5859"/>
    <w:rsid w:val="00DF1FD8"/>
    <w:rsid w:val="00E021D1"/>
    <w:rsid w:val="00E02B3A"/>
    <w:rsid w:val="00E038E9"/>
    <w:rsid w:val="00E0421A"/>
    <w:rsid w:val="00E06BB0"/>
    <w:rsid w:val="00E11494"/>
    <w:rsid w:val="00E118BB"/>
    <w:rsid w:val="00E16875"/>
    <w:rsid w:val="00E20AD9"/>
    <w:rsid w:val="00E224B8"/>
    <w:rsid w:val="00E31E18"/>
    <w:rsid w:val="00E331FE"/>
    <w:rsid w:val="00E3418C"/>
    <w:rsid w:val="00E34E09"/>
    <w:rsid w:val="00E40799"/>
    <w:rsid w:val="00E40F00"/>
    <w:rsid w:val="00E43137"/>
    <w:rsid w:val="00E43EF2"/>
    <w:rsid w:val="00E4471B"/>
    <w:rsid w:val="00E4599E"/>
    <w:rsid w:val="00E469D5"/>
    <w:rsid w:val="00E51154"/>
    <w:rsid w:val="00E5270C"/>
    <w:rsid w:val="00E5561F"/>
    <w:rsid w:val="00E61C62"/>
    <w:rsid w:val="00E66B38"/>
    <w:rsid w:val="00E7050D"/>
    <w:rsid w:val="00E715A0"/>
    <w:rsid w:val="00E76936"/>
    <w:rsid w:val="00E80A04"/>
    <w:rsid w:val="00E810EA"/>
    <w:rsid w:val="00E81704"/>
    <w:rsid w:val="00E84FA2"/>
    <w:rsid w:val="00E84FB1"/>
    <w:rsid w:val="00E87D47"/>
    <w:rsid w:val="00E91F7C"/>
    <w:rsid w:val="00E92761"/>
    <w:rsid w:val="00E92AC7"/>
    <w:rsid w:val="00E95801"/>
    <w:rsid w:val="00E96DBB"/>
    <w:rsid w:val="00EA656F"/>
    <w:rsid w:val="00EB6436"/>
    <w:rsid w:val="00EB72DB"/>
    <w:rsid w:val="00EC184E"/>
    <w:rsid w:val="00EC1F69"/>
    <w:rsid w:val="00EC236B"/>
    <w:rsid w:val="00EC304C"/>
    <w:rsid w:val="00EC4FF6"/>
    <w:rsid w:val="00EC6C07"/>
    <w:rsid w:val="00ED16CC"/>
    <w:rsid w:val="00ED3B65"/>
    <w:rsid w:val="00EE0BB6"/>
    <w:rsid w:val="00EE1928"/>
    <w:rsid w:val="00EE2E00"/>
    <w:rsid w:val="00EE2E70"/>
    <w:rsid w:val="00EE5F88"/>
    <w:rsid w:val="00EF0D05"/>
    <w:rsid w:val="00EF0E56"/>
    <w:rsid w:val="00EF3314"/>
    <w:rsid w:val="00EF54BC"/>
    <w:rsid w:val="00EF762C"/>
    <w:rsid w:val="00EF7F3D"/>
    <w:rsid w:val="00F02507"/>
    <w:rsid w:val="00F0312B"/>
    <w:rsid w:val="00F1065D"/>
    <w:rsid w:val="00F11231"/>
    <w:rsid w:val="00F1355B"/>
    <w:rsid w:val="00F14551"/>
    <w:rsid w:val="00F24DA3"/>
    <w:rsid w:val="00F32F97"/>
    <w:rsid w:val="00F33FC1"/>
    <w:rsid w:val="00F3622F"/>
    <w:rsid w:val="00F36DF1"/>
    <w:rsid w:val="00F40E9C"/>
    <w:rsid w:val="00F4248A"/>
    <w:rsid w:val="00F438E5"/>
    <w:rsid w:val="00F50704"/>
    <w:rsid w:val="00F624CB"/>
    <w:rsid w:val="00F63182"/>
    <w:rsid w:val="00F72507"/>
    <w:rsid w:val="00F77D3B"/>
    <w:rsid w:val="00F811FC"/>
    <w:rsid w:val="00F82087"/>
    <w:rsid w:val="00F941F0"/>
    <w:rsid w:val="00F95C20"/>
    <w:rsid w:val="00F96097"/>
    <w:rsid w:val="00FA477B"/>
    <w:rsid w:val="00FA62E8"/>
    <w:rsid w:val="00FB0C69"/>
    <w:rsid w:val="00FB2895"/>
    <w:rsid w:val="00FB4269"/>
    <w:rsid w:val="00FC1885"/>
    <w:rsid w:val="00FC40DF"/>
    <w:rsid w:val="00FC49C8"/>
    <w:rsid w:val="00FC4D78"/>
    <w:rsid w:val="00FC5937"/>
    <w:rsid w:val="00FC69FB"/>
    <w:rsid w:val="00FD3341"/>
    <w:rsid w:val="00FD6762"/>
    <w:rsid w:val="00FD7C9C"/>
    <w:rsid w:val="00FE54C5"/>
    <w:rsid w:val="00FE656A"/>
    <w:rsid w:val="00FE6B18"/>
    <w:rsid w:val="00FE6E46"/>
    <w:rsid w:val="00FE72C0"/>
    <w:rsid w:val="00FE744C"/>
    <w:rsid w:val="00FE7F4F"/>
    <w:rsid w:val="00FF2248"/>
    <w:rsid w:val="00FF53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14118022-E510-4B27-BA6C-C96847C71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1" w:unhideWhenUsed="1"/>
    <w:lsdException w:name="Body Text" w:locked="1"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locked="1" w:uiPriority="59"/>
    <w:lsdException w:name="Placeholder Text" w:locked="1" w:semiHidden="1"/>
    <w:lsdException w:name="No Spacing" w:locked="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locked="1"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locked="1" w:semiHidden="1" w:uiPriority="37" w:unhideWhenUsed="1"/>
    <w:lsdException w:name="TOC Heading" w:locked="1"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35D8B"/>
    <w:pPr>
      <w:widowControl w:val="0"/>
      <w:adjustRightInd w:val="0"/>
    </w:pPr>
    <w:rPr>
      <w:rFonts w:cs="Times New Roman"/>
      <w:lang w:val="en-US" w:eastAsia="en-US"/>
    </w:rPr>
  </w:style>
  <w:style w:type="paragraph" w:styleId="Nadpis1">
    <w:name w:val="heading 1"/>
    <w:basedOn w:val="Normlny"/>
    <w:next w:val="Normlny"/>
    <w:link w:val="Nadpis1Char"/>
    <w:uiPriority w:val="9"/>
    <w:qFormat/>
    <w:locked/>
    <w:rsid w:val="00A93EFD"/>
    <w:pPr>
      <w:keepNext/>
      <w:spacing w:before="240" w:after="60"/>
      <w:outlineLvl w:val="0"/>
    </w:pPr>
    <w:rPr>
      <w:rFonts w:asciiTheme="majorHAnsi" w:eastAsiaTheme="majorEastAsia" w:hAnsiTheme="majorHAnsi"/>
      <w:b/>
      <w:bCs/>
      <w:kern w:val="32"/>
      <w:sz w:val="32"/>
      <w:szCs w:val="32"/>
    </w:rPr>
  </w:style>
  <w:style w:type="paragraph" w:styleId="Nadpis2">
    <w:name w:val="heading 2"/>
    <w:basedOn w:val="Normlny"/>
    <w:next w:val="Normlny"/>
    <w:link w:val="Nadpis2Char"/>
    <w:uiPriority w:val="9"/>
    <w:qFormat/>
    <w:locked/>
    <w:rsid w:val="00BA270C"/>
    <w:pPr>
      <w:keepNext/>
      <w:widowControl/>
      <w:adjustRightInd/>
      <w:spacing w:before="120" w:after="120" w:line="240" w:lineRule="auto"/>
      <w:jc w:val="both"/>
      <w:outlineLvl w:val="1"/>
    </w:pPr>
    <w:rPr>
      <w:rFonts w:ascii="Times New Roman Bold" w:hAnsi="Times New Roman Bold"/>
      <w:b/>
      <w:smallCaps/>
      <w:sz w:val="24"/>
      <w:szCs w:val="20"/>
      <w:lang w:val="en-GB"/>
    </w:rPr>
  </w:style>
  <w:style w:type="paragraph" w:styleId="Nadpis3">
    <w:name w:val="heading 3"/>
    <w:basedOn w:val="Normlny"/>
    <w:next w:val="Normlny"/>
    <w:link w:val="Nadpis3Char"/>
    <w:uiPriority w:val="9"/>
    <w:semiHidden/>
    <w:unhideWhenUsed/>
    <w:qFormat/>
    <w:locked/>
    <w:rsid w:val="00C10CF6"/>
    <w:pPr>
      <w:keepNext/>
      <w:spacing w:before="240" w:after="60"/>
      <w:outlineLvl w:val="2"/>
    </w:pPr>
    <w:rPr>
      <w:rFonts w:asciiTheme="majorHAnsi" w:eastAsiaTheme="majorEastAsia" w:hAnsiTheme="majorHAnsi"/>
      <w:b/>
      <w:bCs/>
      <w:sz w:val="26"/>
      <w:szCs w:val="26"/>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A93EFD"/>
    <w:rPr>
      <w:rFonts w:asciiTheme="majorHAnsi" w:eastAsiaTheme="majorEastAsia" w:hAnsiTheme="majorHAnsi" w:cs="Times New Roman"/>
      <w:b/>
      <w:bCs/>
      <w:kern w:val="32"/>
      <w:sz w:val="32"/>
      <w:szCs w:val="32"/>
      <w:lang w:val="en-US" w:eastAsia="en-US"/>
    </w:rPr>
  </w:style>
  <w:style w:type="character" w:customStyle="1" w:styleId="Nadpis2Char">
    <w:name w:val="Nadpis 2 Char"/>
    <w:basedOn w:val="Predvolenpsmoodseku"/>
    <w:link w:val="Nadpis2"/>
    <w:uiPriority w:val="9"/>
    <w:locked/>
    <w:rsid w:val="00BA270C"/>
    <w:rPr>
      <w:rFonts w:ascii="Times New Roman Bold" w:hAnsi="Times New Roman Bold" w:cs="Times New Roman"/>
      <w:b/>
      <w:smallCaps/>
      <w:sz w:val="20"/>
      <w:szCs w:val="20"/>
      <w:lang w:val="en-GB" w:eastAsia="en-US"/>
    </w:rPr>
  </w:style>
  <w:style w:type="character" w:customStyle="1" w:styleId="Nadpis3Char">
    <w:name w:val="Nadpis 3 Char"/>
    <w:basedOn w:val="Predvolenpsmoodseku"/>
    <w:link w:val="Nadpis3"/>
    <w:uiPriority w:val="9"/>
    <w:semiHidden/>
    <w:locked/>
    <w:rsid w:val="00C10CF6"/>
    <w:rPr>
      <w:rFonts w:asciiTheme="majorHAnsi" w:eastAsiaTheme="majorEastAsia" w:hAnsiTheme="majorHAnsi" w:cs="Times New Roman"/>
      <w:b/>
      <w:bCs/>
      <w:sz w:val="26"/>
      <w:szCs w:val="26"/>
      <w:lang w:val="en-US" w:eastAsia="en-US"/>
    </w:rPr>
  </w:style>
  <w:style w:type="character" w:styleId="Zstupntext">
    <w:name w:val="Placeholder Text"/>
    <w:basedOn w:val="Predvolenpsmoodseku"/>
    <w:uiPriority w:val="99"/>
    <w:semiHidden/>
    <w:rsid w:val="00112D54"/>
    <w:rPr>
      <w:rFonts w:ascii="Times New Roman" w:hAnsi="Times New Roman" w:cs="Times New Roman"/>
      <w:color w:val="808080"/>
    </w:rPr>
  </w:style>
  <w:style w:type="paragraph" w:styleId="Textbubliny">
    <w:name w:val="Balloon Text"/>
    <w:basedOn w:val="Normlny"/>
    <w:link w:val="TextbublinyChar"/>
    <w:uiPriority w:val="99"/>
    <w:semiHidden/>
    <w:unhideWhenUsed/>
    <w:rsid w:val="00112D5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112D54"/>
    <w:rPr>
      <w:rFonts w:ascii="Tahoma" w:hAnsi="Tahoma" w:cs="Tahoma"/>
      <w:sz w:val="16"/>
      <w:szCs w:val="16"/>
    </w:rPr>
  </w:style>
  <w:style w:type="table" w:styleId="Mriekatabuky">
    <w:name w:val="Table Grid"/>
    <w:basedOn w:val="Normlnatabuka"/>
    <w:uiPriority w:val="59"/>
    <w:pPr>
      <w:widowControl w:val="0"/>
      <w:autoSpaceDE w:val="0"/>
      <w:autoSpaceDN w:val="0"/>
      <w:adjustRightInd w:val="0"/>
      <w:spacing w:after="0" w:line="240" w:lineRule="auto"/>
    </w:pPr>
    <w:rPr>
      <w:rFonts w:cs="Times New Roman"/>
      <w:sz w:val="24"/>
      <w:szCs w:val="24"/>
    </w:rPr>
    <w:tblPr>
      <w:tblInd w:w="0" w:type="nil"/>
      <w:tblCellMar>
        <w:left w:w="0" w:type="dxa"/>
        <w:right w:w="0" w:type="dxa"/>
      </w:tblCellMar>
    </w:tblPr>
  </w:style>
  <w:style w:type="character" w:styleId="Siln">
    <w:name w:val="Strong"/>
    <w:basedOn w:val="Predvolenpsmoodseku"/>
    <w:uiPriority w:val="22"/>
    <w:qFormat/>
    <w:rsid w:val="00A63365"/>
    <w:rPr>
      <w:rFonts w:ascii="Times New Roman" w:hAnsi="Times New Roman" w:cs="Times New Roman"/>
      <w:b/>
      <w:bCs/>
    </w:rPr>
  </w:style>
  <w:style w:type="paragraph" w:styleId="Zkladntext">
    <w:name w:val="Body Text"/>
    <w:basedOn w:val="Normlny"/>
    <w:link w:val="ZkladntextChar"/>
    <w:uiPriority w:val="99"/>
    <w:semiHidden/>
    <w:rsid w:val="00A63365"/>
    <w:pPr>
      <w:spacing w:after="0" w:line="240" w:lineRule="auto"/>
      <w:jc w:val="center"/>
    </w:pPr>
    <w:rPr>
      <w:rFonts w:ascii="Times New Roman" w:hAnsi="Times New Roman"/>
      <w:b/>
      <w:bCs/>
      <w:sz w:val="28"/>
      <w:szCs w:val="28"/>
      <w:lang w:val="sk-SK" w:eastAsia="sk-SK"/>
    </w:rPr>
  </w:style>
  <w:style w:type="character" w:customStyle="1" w:styleId="ZkladntextChar">
    <w:name w:val="Základný text Char"/>
    <w:basedOn w:val="Predvolenpsmoodseku"/>
    <w:link w:val="Zkladntext"/>
    <w:uiPriority w:val="99"/>
    <w:semiHidden/>
    <w:locked/>
    <w:rsid w:val="00A63365"/>
    <w:rPr>
      <w:rFonts w:ascii="Times New Roman" w:hAnsi="Times New Roman" w:cs="Times New Roman"/>
      <w:b/>
      <w:bCs/>
      <w:sz w:val="28"/>
      <w:szCs w:val="28"/>
      <w:lang w:val="sk-SK" w:eastAsia="sk-SK"/>
    </w:rPr>
  </w:style>
  <w:style w:type="paragraph" w:styleId="Zarkazkladnhotextu2">
    <w:name w:val="Body Text Indent 2"/>
    <w:basedOn w:val="Normlny"/>
    <w:link w:val="Zarkazkladnhotextu2Char"/>
    <w:uiPriority w:val="99"/>
    <w:semiHidden/>
    <w:unhideWhenUsed/>
    <w:rsid w:val="00984FB1"/>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locked/>
    <w:rsid w:val="00984FB1"/>
    <w:rPr>
      <w:rFonts w:ascii="Times New Roman" w:hAnsi="Times New Roman" w:cs="Times New Roman"/>
    </w:rPr>
  </w:style>
  <w:style w:type="paragraph" w:styleId="Hlavika">
    <w:name w:val="header"/>
    <w:basedOn w:val="Normlny"/>
    <w:link w:val="HlavikaChar"/>
    <w:uiPriority w:val="99"/>
    <w:unhideWhenUsed/>
    <w:rsid w:val="0064649A"/>
    <w:pPr>
      <w:tabs>
        <w:tab w:val="center" w:pos="4536"/>
        <w:tab w:val="right" w:pos="9072"/>
      </w:tabs>
    </w:pPr>
  </w:style>
  <w:style w:type="character" w:customStyle="1" w:styleId="HlavikaChar">
    <w:name w:val="Hlavička Char"/>
    <w:basedOn w:val="Predvolenpsmoodseku"/>
    <w:link w:val="Hlavika"/>
    <w:uiPriority w:val="99"/>
    <w:locked/>
    <w:rsid w:val="0064649A"/>
    <w:rPr>
      <w:rFonts w:cs="Times New Roman"/>
      <w:lang w:val="en-US" w:eastAsia="en-US"/>
    </w:rPr>
  </w:style>
  <w:style w:type="paragraph" w:styleId="Pta">
    <w:name w:val="footer"/>
    <w:basedOn w:val="Normlny"/>
    <w:link w:val="PtaChar"/>
    <w:uiPriority w:val="99"/>
    <w:unhideWhenUsed/>
    <w:rsid w:val="0064649A"/>
    <w:pPr>
      <w:tabs>
        <w:tab w:val="center" w:pos="4536"/>
        <w:tab w:val="right" w:pos="9072"/>
      </w:tabs>
    </w:pPr>
  </w:style>
  <w:style w:type="character" w:customStyle="1" w:styleId="PtaChar">
    <w:name w:val="Päta Char"/>
    <w:basedOn w:val="Predvolenpsmoodseku"/>
    <w:link w:val="Pta"/>
    <w:uiPriority w:val="99"/>
    <w:locked/>
    <w:rsid w:val="0064649A"/>
    <w:rPr>
      <w:rFonts w:cs="Times New Roman"/>
      <w:lang w:val="en-US" w:eastAsia="en-US"/>
    </w:rPr>
  </w:style>
  <w:style w:type="character" w:styleId="Odkaznakomentr">
    <w:name w:val="annotation reference"/>
    <w:basedOn w:val="Predvolenpsmoodseku"/>
    <w:uiPriority w:val="99"/>
    <w:semiHidden/>
    <w:unhideWhenUsed/>
    <w:rsid w:val="00345F0E"/>
    <w:rPr>
      <w:rFonts w:cs="Times New Roman"/>
      <w:sz w:val="16"/>
      <w:szCs w:val="16"/>
    </w:rPr>
  </w:style>
  <w:style w:type="paragraph" w:styleId="Textkomentra">
    <w:name w:val="annotation text"/>
    <w:basedOn w:val="Normlny"/>
    <w:link w:val="TextkomentraChar"/>
    <w:uiPriority w:val="99"/>
    <w:semiHidden/>
    <w:unhideWhenUsed/>
    <w:rsid w:val="00345F0E"/>
    <w:rPr>
      <w:sz w:val="20"/>
      <w:szCs w:val="20"/>
    </w:rPr>
  </w:style>
  <w:style w:type="character" w:customStyle="1" w:styleId="TextkomentraChar">
    <w:name w:val="Text komentára Char"/>
    <w:basedOn w:val="Predvolenpsmoodseku"/>
    <w:link w:val="Textkomentra"/>
    <w:uiPriority w:val="99"/>
    <w:semiHidden/>
    <w:locked/>
    <w:rsid w:val="00345F0E"/>
    <w:rPr>
      <w:rFonts w:cs="Times New Roman"/>
      <w:sz w:val="20"/>
      <w:szCs w:val="20"/>
      <w:lang w:val="en-US" w:eastAsia="en-US"/>
    </w:rPr>
  </w:style>
  <w:style w:type="paragraph" w:styleId="Predmetkomentra">
    <w:name w:val="annotation subject"/>
    <w:basedOn w:val="Textkomentra"/>
    <w:next w:val="Textkomentra"/>
    <w:link w:val="PredmetkomentraChar"/>
    <w:uiPriority w:val="99"/>
    <w:semiHidden/>
    <w:unhideWhenUsed/>
    <w:rsid w:val="00345F0E"/>
    <w:rPr>
      <w:b/>
      <w:bCs/>
    </w:rPr>
  </w:style>
  <w:style w:type="character" w:customStyle="1" w:styleId="PredmetkomentraChar">
    <w:name w:val="Predmet komentára Char"/>
    <w:basedOn w:val="TextkomentraChar"/>
    <w:link w:val="Predmetkomentra"/>
    <w:uiPriority w:val="99"/>
    <w:semiHidden/>
    <w:locked/>
    <w:rsid w:val="00345F0E"/>
    <w:rPr>
      <w:rFonts w:cs="Times New Roman"/>
      <w:b/>
      <w:bCs/>
      <w:sz w:val="20"/>
      <w:szCs w:val="20"/>
      <w:lang w:val="en-US" w:eastAsia="en-US"/>
    </w:rPr>
  </w:style>
  <w:style w:type="paragraph" w:styleId="Bezriadkovania">
    <w:name w:val="No Spacing"/>
    <w:uiPriority w:val="1"/>
    <w:qFormat/>
    <w:locked/>
    <w:rsid w:val="00E021D1"/>
    <w:pPr>
      <w:spacing w:after="0" w:line="240" w:lineRule="auto"/>
    </w:pPr>
    <w:rPr>
      <w:rFonts w:cs="Times New Roman"/>
      <w:lang w:eastAsia="en-US"/>
    </w:rPr>
  </w:style>
  <w:style w:type="paragraph" w:styleId="Odsekzoznamu">
    <w:name w:val="List Paragraph"/>
    <w:basedOn w:val="Normlny"/>
    <w:link w:val="OdsekzoznamuChar"/>
    <w:uiPriority w:val="34"/>
    <w:qFormat/>
    <w:locked/>
    <w:rsid w:val="00D06E45"/>
    <w:pPr>
      <w:widowControl/>
      <w:adjustRightInd/>
      <w:ind w:left="720"/>
      <w:contextualSpacing/>
    </w:pPr>
    <w:rPr>
      <w:lang w:val="sk-SK"/>
    </w:rPr>
  </w:style>
  <w:style w:type="character" w:customStyle="1" w:styleId="hps">
    <w:name w:val="hps"/>
    <w:rsid w:val="006E3746"/>
  </w:style>
  <w:style w:type="character" w:customStyle="1" w:styleId="atn">
    <w:name w:val="atn"/>
    <w:rsid w:val="006E3746"/>
  </w:style>
  <w:style w:type="paragraph" w:customStyle="1" w:styleId="CM4">
    <w:name w:val="CM4"/>
    <w:basedOn w:val="Normlny"/>
    <w:next w:val="Normlny"/>
    <w:uiPriority w:val="99"/>
    <w:rsid w:val="00762403"/>
    <w:pPr>
      <w:widowControl/>
      <w:autoSpaceDE w:val="0"/>
      <w:autoSpaceDN w:val="0"/>
      <w:spacing w:after="0" w:line="240" w:lineRule="auto"/>
    </w:pPr>
    <w:rPr>
      <w:rFonts w:ascii="EUAlbertina" w:hAnsi="EUAlbertina"/>
      <w:sz w:val="24"/>
      <w:szCs w:val="24"/>
      <w:lang w:val="sk-SK" w:eastAsia="en-GB"/>
    </w:rPr>
  </w:style>
  <w:style w:type="character" w:customStyle="1" w:styleId="OdsekzoznamuChar">
    <w:name w:val="Odsek zoznamu Char"/>
    <w:link w:val="Odsekzoznamu"/>
    <w:uiPriority w:val="34"/>
    <w:locked/>
    <w:rsid w:val="006118A9"/>
    <w:rPr>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990803">
      <w:marLeft w:val="0"/>
      <w:marRight w:val="0"/>
      <w:marTop w:val="0"/>
      <w:marBottom w:val="0"/>
      <w:divBdr>
        <w:top w:val="none" w:sz="0" w:space="0" w:color="auto"/>
        <w:left w:val="none" w:sz="0" w:space="0" w:color="auto"/>
        <w:bottom w:val="none" w:sz="0" w:space="0" w:color="auto"/>
        <w:right w:val="none" w:sz="0" w:space="0" w:color="auto"/>
      </w:divBdr>
    </w:div>
    <w:div w:id="1408990804">
      <w:marLeft w:val="0"/>
      <w:marRight w:val="0"/>
      <w:marTop w:val="0"/>
      <w:marBottom w:val="0"/>
      <w:divBdr>
        <w:top w:val="none" w:sz="0" w:space="0" w:color="auto"/>
        <w:left w:val="none" w:sz="0" w:space="0" w:color="auto"/>
        <w:bottom w:val="none" w:sz="0" w:space="0" w:color="auto"/>
        <w:right w:val="none" w:sz="0" w:space="0" w:color="auto"/>
      </w:divBdr>
    </w:div>
    <w:div w:id="1408990805">
      <w:marLeft w:val="0"/>
      <w:marRight w:val="0"/>
      <w:marTop w:val="0"/>
      <w:marBottom w:val="0"/>
      <w:divBdr>
        <w:top w:val="none" w:sz="0" w:space="0" w:color="auto"/>
        <w:left w:val="none" w:sz="0" w:space="0" w:color="auto"/>
        <w:bottom w:val="none" w:sz="0" w:space="0" w:color="auto"/>
        <w:right w:val="none" w:sz="0" w:space="0" w:color="auto"/>
      </w:divBdr>
    </w:div>
    <w:div w:id="1408990806">
      <w:marLeft w:val="0"/>
      <w:marRight w:val="0"/>
      <w:marTop w:val="0"/>
      <w:marBottom w:val="0"/>
      <w:divBdr>
        <w:top w:val="none" w:sz="0" w:space="0" w:color="auto"/>
        <w:left w:val="none" w:sz="0" w:space="0" w:color="auto"/>
        <w:bottom w:val="none" w:sz="0" w:space="0" w:color="auto"/>
        <w:right w:val="none" w:sz="0" w:space="0" w:color="auto"/>
      </w:divBdr>
    </w:div>
    <w:div w:id="1408990807">
      <w:marLeft w:val="0"/>
      <w:marRight w:val="0"/>
      <w:marTop w:val="0"/>
      <w:marBottom w:val="0"/>
      <w:divBdr>
        <w:top w:val="none" w:sz="0" w:space="0" w:color="auto"/>
        <w:left w:val="none" w:sz="0" w:space="0" w:color="auto"/>
        <w:bottom w:val="none" w:sz="0" w:space="0" w:color="auto"/>
        <w:right w:val="none" w:sz="0" w:space="0" w:color="auto"/>
      </w:divBdr>
    </w:div>
    <w:div w:id="1408990808">
      <w:marLeft w:val="0"/>
      <w:marRight w:val="0"/>
      <w:marTop w:val="0"/>
      <w:marBottom w:val="0"/>
      <w:divBdr>
        <w:top w:val="none" w:sz="0" w:space="0" w:color="auto"/>
        <w:left w:val="none" w:sz="0" w:space="0" w:color="auto"/>
        <w:bottom w:val="none" w:sz="0" w:space="0" w:color="auto"/>
        <w:right w:val="none" w:sz="0" w:space="0" w:color="auto"/>
      </w:divBdr>
    </w:div>
    <w:div w:id="1408990809">
      <w:marLeft w:val="0"/>
      <w:marRight w:val="0"/>
      <w:marTop w:val="0"/>
      <w:marBottom w:val="0"/>
      <w:divBdr>
        <w:top w:val="none" w:sz="0" w:space="0" w:color="auto"/>
        <w:left w:val="none" w:sz="0" w:space="0" w:color="auto"/>
        <w:bottom w:val="none" w:sz="0" w:space="0" w:color="auto"/>
        <w:right w:val="none" w:sz="0" w:space="0" w:color="auto"/>
      </w:divBdr>
    </w:div>
    <w:div w:id="1408990810">
      <w:marLeft w:val="0"/>
      <w:marRight w:val="0"/>
      <w:marTop w:val="0"/>
      <w:marBottom w:val="0"/>
      <w:divBdr>
        <w:top w:val="none" w:sz="0" w:space="0" w:color="auto"/>
        <w:left w:val="none" w:sz="0" w:space="0" w:color="auto"/>
        <w:bottom w:val="none" w:sz="0" w:space="0" w:color="auto"/>
        <w:right w:val="none" w:sz="0" w:space="0" w:color="auto"/>
      </w:divBdr>
    </w:div>
    <w:div w:id="1408990811">
      <w:marLeft w:val="0"/>
      <w:marRight w:val="0"/>
      <w:marTop w:val="0"/>
      <w:marBottom w:val="0"/>
      <w:divBdr>
        <w:top w:val="none" w:sz="0" w:space="0" w:color="auto"/>
        <w:left w:val="none" w:sz="0" w:space="0" w:color="auto"/>
        <w:bottom w:val="none" w:sz="0" w:space="0" w:color="auto"/>
        <w:right w:val="none" w:sz="0" w:space="0" w:color="auto"/>
      </w:divBdr>
    </w:div>
    <w:div w:id="1408990812">
      <w:marLeft w:val="0"/>
      <w:marRight w:val="0"/>
      <w:marTop w:val="0"/>
      <w:marBottom w:val="0"/>
      <w:divBdr>
        <w:top w:val="none" w:sz="0" w:space="0" w:color="auto"/>
        <w:left w:val="none" w:sz="0" w:space="0" w:color="auto"/>
        <w:bottom w:val="none" w:sz="0" w:space="0" w:color="auto"/>
        <w:right w:val="none" w:sz="0" w:space="0" w:color="auto"/>
      </w:divBdr>
    </w:div>
    <w:div w:id="1408990813">
      <w:marLeft w:val="0"/>
      <w:marRight w:val="0"/>
      <w:marTop w:val="0"/>
      <w:marBottom w:val="0"/>
      <w:divBdr>
        <w:top w:val="none" w:sz="0" w:space="0" w:color="auto"/>
        <w:left w:val="none" w:sz="0" w:space="0" w:color="auto"/>
        <w:bottom w:val="none" w:sz="0" w:space="0" w:color="auto"/>
        <w:right w:val="none" w:sz="0" w:space="0" w:color="auto"/>
      </w:divBdr>
    </w:div>
    <w:div w:id="1408990814">
      <w:marLeft w:val="0"/>
      <w:marRight w:val="0"/>
      <w:marTop w:val="0"/>
      <w:marBottom w:val="0"/>
      <w:divBdr>
        <w:top w:val="none" w:sz="0" w:space="0" w:color="auto"/>
        <w:left w:val="none" w:sz="0" w:space="0" w:color="auto"/>
        <w:bottom w:val="none" w:sz="0" w:space="0" w:color="auto"/>
        <w:right w:val="none" w:sz="0" w:space="0" w:color="auto"/>
      </w:divBdr>
    </w:div>
    <w:div w:id="1408990815">
      <w:marLeft w:val="0"/>
      <w:marRight w:val="0"/>
      <w:marTop w:val="0"/>
      <w:marBottom w:val="0"/>
      <w:divBdr>
        <w:top w:val="none" w:sz="0" w:space="0" w:color="auto"/>
        <w:left w:val="none" w:sz="0" w:space="0" w:color="auto"/>
        <w:bottom w:val="none" w:sz="0" w:space="0" w:color="auto"/>
        <w:right w:val="none" w:sz="0" w:space="0" w:color="auto"/>
      </w:divBdr>
    </w:div>
    <w:div w:id="1408990816">
      <w:marLeft w:val="0"/>
      <w:marRight w:val="0"/>
      <w:marTop w:val="0"/>
      <w:marBottom w:val="0"/>
      <w:divBdr>
        <w:top w:val="none" w:sz="0" w:space="0" w:color="auto"/>
        <w:left w:val="none" w:sz="0" w:space="0" w:color="auto"/>
        <w:bottom w:val="none" w:sz="0" w:space="0" w:color="auto"/>
        <w:right w:val="none" w:sz="0" w:space="0" w:color="auto"/>
      </w:divBdr>
    </w:div>
    <w:div w:id="1408990817">
      <w:marLeft w:val="0"/>
      <w:marRight w:val="0"/>
      <w:marTop w:val="0"/>
      <w:marBottom w:val="0"/>
      <w:divBdr>
        <w:top w:val="none" w:sz="0" w:space="0" w:color="auto"/>
        <w:left w:val="none" w:sz="0" w:space="0" w:color="auto"/>
        <w:bottom w:val="none" w:sz="0" w:space="0" w:color="auto"/>
        <w:right w:val="none" w:sz="0" w:space="0" w:color="auto"/>
      </w:divBdr>
    </w:div>
    <w:div w:id="1408990818">
      <w:marLeft w:val="0"/>
      <w:marRight w:val="0"/>
      <w:marTop w:val="0"/>
      <w:marBottom w:val="0"/>
      <w:divBdr>
        <w:top w:val="none" w:sz="0" w:space="0" w:color="auto"/>
        <w:left w:val="none" w:sz="0" w:space="0" w:color="auto"/>
        <w:bottom w:val="none" w:sz="0" w:space="0" w:color="auto"/>
        <w:right w:val="none" w:sz="0" w:space="0" w:color="auto"/>
      </w:divBdr>
    </w:div>
    <w:div w:id="1408990819">
      <w:marLeft w:val="0"/>
      <w:marRight w:val="0"/>
      <w:marTop w:val="0"/>
      <w:marBottom w:val="0"/>
      <w:divBdr>
        <w:top w:val="none" w:sz="0" w:space="0" w:color="auto"/>
        <w:left w:val="none" w:sz="0" w:space="0" w:color="auto"/>
        <w:bottom w:val="none" w:sz="0" w:space="0" w:color="auto"/>
        <w:right w:val="none" w:sz="0" w:space="0" w:color="auto"/>
      </w:divBdr>
    </w:div>
    <w:div w:id="1408990820">
      <w:marLeft w:val="0"/>
      <w:marRight w:val="0"/>
      <w:marTop w:val="0"/>
      <w:marBottom w:val="0"/>
      <w:divBdr>
        <w:top w:val="none" w:sz="0" w:space="0" w:color="auto"/>
        <w:left w:val="none" w:sz="0" w:space="0" w:color="auto"/>
        <w:bottom w:val="none" w:sz="0" w:space="0" w:color="auto"/>
        <w:right w:val="none" w:sz="0" w:space="0" w:color="auto"/>
      </w:divBdr>
    </w:div>
    <w:div w:id="1408990821">
      <w:marLeft w:val="0"/>
      <w:marRight w:val="0"/>
      <w:marTop w:val="0"/>
      <w:marBottom w:val="0"/>
      <w:divBdr>
        <w:top w:val="none" w:sz="0" w:space="0" w:color="auto"/>
        <w:left w:val="none" w:sz="0" w:space="0" w:color="auto"/>
        <w:bottom w:val="none" w:sz="0" w:space="0" w:color="auto"/>
        <w:right w:val="none" w:sz="0" w:space="0" w:color="auto"/>
      </w:divBdr>
    </w:div>
    <w:div w:id="1408990822">
      <w:marLeft w:val="0"/>
      <w:marRight w:val="0"/>
      <w:marTop w:val="0"/>
      <w:marBottom w:val="0"/>
      <w:divBdr>
        <w:top w:val="none" w:sz="0" w:space="0" w:color="auto"/>
        <w:left w:val="none" w:sz="0" w:space="0" w:color="auto"/>
        <w:bottom w:val="none" w:sz="0" w:space="0" w:color="auto"/>
        <w:right w:val="none" w:sz="0" w:space="0" w:color="auto"/>
      </w:divBdr>
    </w:div>
    <w:div w:id="1408990823">
      <w:marLeft w:val="0"/>
      <w:marRight w:val="0"/>
      <w:marTop w:val="0"/>
      <w:marBottom w:val="0"/>
      <w:divBdr>
        <w:top w:val="none" w:sz="0" w:space="0" w:color="auto"/>
        <w:left w:val="none" w:sz="0" w:space="0" w:color="auto"/>
        <w:bottom w:val="none" w:sz="0" w:space="0" w:color="auto"/>
        <w:right w:val="none" w:sz="0" w:space="0" w:color="auto"/>
      </w:divBdr>
    </w:div>
    <w:div w:id="1408990824">
      <w:marLeft w:val="0"/>
      <w:marRight w:val="0"/>
      <w:marTop w:val="0"/>
      <w:marBottom w:val="0"/>
      <w:divBdr>
        <w:top w:val="none" w:sz="0" w:space="0" w:color="auto"/>
        <w:left w:val="none" w:sz="0" w:space="0" w:color="auto"/>
        <w:bottom w:val="none" w:sz="0" w:space="0" w:color="auto"/>
        <w:right w:val="none" w:sz="0" w:space="0" w:color="auto"/>
      </w:divBdr>
    </w:div>
    <w:div w:id="1408990825">
      <w:marLeft w:val="0"/>
      <w:marRight w:val="0"/>
      <w:marTop w:val="0"/>
      <w:marBottom w:val="0"/>
      <w:divBdr>
        <w:top w:val="none" w:sz="0" w:space="0" w:color="auto"/>
        <w:left w:val="none" w:sz="0" w:space="0" w:color="auto"/>
        <w:bottom w:val="none" w:sz="0" w:space="0" w:color="auto"/>
        <w:right w:val="none" w:sz="0" w:space="0" w:color="auto"/>
      </w:divBdr>
    </w:div>
    <w:div w:id="1408990826">
      <w:marLeft w:val="0"/>
      <w:marRight w:val="0"/>
      <w:marTop w:val="0"/>
      <w:marBottom w:val="0"/>
      <w:divBdr>
        <w:top w:val="none" w:sz="0" w:space="0" w:color="auto"/>
        <w:left w:val="none" w:sz="0" w:space="0" w:color="auto"/>
        <w:bottom w:val="none" w:sz="0" w:space="0" w:color="auto"/>
        <w:right w:val="none" w:sz="0" w:space="0" w:color="auto"/>
      </w:divBdr>
    </w:div>
    <w:div w:id="1408990827">
      <w:marLeft w:val="0"/>
      <w:marRight w:val="0"/>
      <w:marTop w:val="0"/>
      <w:marBottom w:val="0"/>
      <w:divBdr>
        <w:top w:val="none" w:sz="0" w:space="0" w:color="auto"/>
        <w:left w:val="none" w:sz="0" w:space="0" w:color="auto"/>
        <w:bottom w:val="none" w:sz="0" w:space="0" w:color="auto"/>
        <w:right w:val="none" w:sz="0" w:space="0" w:color="auto"/>
      </w:divBdr>
    </w:div>
    <w:div w:id="1408990828">
      <w:marLeft w:val="0"/>
      <w:marRight w:val="0"/>
      <w:marTop w:val="0"/>
      <w:marBottom w:val="0"/>
      <w:divBdr>
        <w:top w:val="none" w:sz="0" w:space="0" w:color="auto"/>
        <w:left w:val="none" w:sz="0" w:space="0" w:color="auto"/>
        <w:bottom w:val="none" w:sz="0" w:space="0" w:color="auto"/>
        <w:right w:val="none" w:sz="0" w:space="0" w:color="auto"/>
      </w:divBdr>
    </w:div>
    <w:div w:id="1408990829">
      <w:marLeft w:val="0"/>
      <w:marRight w:val="0"/>
      <w:marTop w:val="0"/>
      <w:marBottom w:val="0"/>
      <w:divBdr>
        <w:top w:val="none" w:sz="0" w:space="0" w:color="auto"/>
        <w:left w:val="none" w:sz="0" w:space="0" w:color="auto"/>
        <w:bottom w:val="none" w:sz="0" w:space="0" w:color="auto"/>
        <w:right w:val="none" w:sz="0" w:space="0" w:color="auto"/>
      </w:divBdr>
    </w:div>
    <w:div w:id="1408990830">
      <w:marLeft w:val="0"/>
      <w:marRight w:val="0"/>
      <w:marTop w:val="0"/>
      <w:marBottom w:val="0"/>
      <w:divBdr>
        <w:top w:val="none" w:sz="0" w:space="0" w:color="auto"/>
        <w:left w:val="none" w:sz="0" w:space="0" w:color="auto"/>
        <w:bottom w:val="none" w:sz="0" w:space="0" w:color="auto"/>
        <w:right w:val="none" w:sz="0" w:space="0" w:color="auto"/>
      </w:divBdr>
    </w:div>
    <w:div w:id="1408990831">
      <w:marLeft w:val="0"/>
      <w:marRight w:val="0"/>
      <w:marTop w:val="0"/>
      <w:marBottom w:val="0"/>
      <w:divBdr>
        <w:top w:val="none" w:sz="0" w:space="0" w:color="auto"/>
        <w:left w:val="none" w:sz="0" w:space="0" w:color="auto"/>
        <w:bottom w:val="none" w:sz="0" w:space="0" w:color="auto"/>
        <w:right w:val="none" w:sz="0" w:space="0" w:color="auto"/>
      </w:divBdr>
    </w:div>
    <w:div w:id="1408990832">
      <w:marLeft w:val="0"/>
      <w:marRight w:val="0"/>
      <w:marTop w:val="0"/>
      <w:marBottom w:val="0"/>
      <w:divBdr>
        <w:top w:val="none" w:sz="0" w:space="0" w:color="auto"/>
        <w:left w:val="none" w:sz="0" w:space="0" w:color="auto"/>
        <w:bottom w:val="none" w:sz="0" w:space="0" w:color="auto"/>
        <w:right w:val="none" w:sz="0" w:space="0" w:color="auto"/>
      </w:divBdr>
    </w:div>
    <w:div w:id="1408990833">
      <w:marLeft w:val="0"/>
      <w:marRight w:val="0"/>
      <w:marTop w:val="0"/>
      <w:marBottom w:val="0"/>
      <w:divBdr>
        <w:top w:val="none" w:sz="0" w:space="0" w:color="auto"/>
        <w:left w:val="none" w:sz="0" w:space="0" w:color="auto"/>
        <w:bottom w:val="none" w:sz="0" w:space="0" w:color="auto"/>
        <w:right w:val="none" w:sz="0" w:space="0" w:color="auto"/>
      </w:divBdr>
    </w:div>
    <w:div w:id="1408990834">
      <w:marLeft w:val="0"/>
      <w:marRight w:val="0"/>
      <w:marTop w:val="0"/>
      <w:marBottom w:val="0"/>
      <w:divBdr>
        <w:top w:val="none" w:sz="0" w:space="0" w:color="auto"/>
        <w:left w:val="none" w:sz="0" w:space="0" w:color="auto"/>
        <w:bottom w:val="none" w:sz="0" w:space="0" w:color="auto"/>
        <w:right w:val="none" w:sz="0" w:space="0" w:color="auto"/>
      </w:divBdr>
    </w:div>
    <w:div w:id="1408990835">
      <w:marLeft w:val="0"/>
      <w:marRight w:val="0"/>
      <w:marTop w:val="0"/>
      <w:marBottom w:val="0"/>
      <w:divBdr>
        <w:top w:val="none" w:sz="0" w:space="0" w:color="auto"/>
        <w:left w:val="none" w:sz="0" w:space="0" w:color="auto"/>
        <w:bottom w:val="none" w:sz="0" w:space="0" w:color="auto"/>
        <w:right w:val="none" w:sz="0" w:space="0" w:color="auto"/>
      </w:divBdr>
    </w:div>
    <w:div w:id="1408990836">
      <w:marLeft w:val="0"/>
      <w:marRight w:val="0"/>
      <w:marTop w:val="0"/>
      <w:marBottom w:val="0"/>
      <w:divBdr>
        <w:top w:val="none" w:sz="0" w:space="0" w:color="auto"/>
        <w:left w:val="none" w:sz="0" w:space="0" w:color="auto"/>
        <w:bottom w:val="none" w:sz="0" w:space="0" w:color="auto"/>
        <w:right w:val="none" w:sz="0" w:space="0" w:color="auto"/>
      </w:divBdr>
    </w:div>
    <w:div w:id="1408990837">
      <w:marLeft w:val="0"/>
      <w:marRight w:val="0"/>
      <w:marTop w:val="0"/>
      <w:marBottom w:val="0"/>
      <w:divBdr>
        <w:top w:val="none" w:sz="0" w:space="0" w:color="auto"/>
        <w:left w:val="none" w:sz="0" w:space="0" w:color="auto"/>
        <w:bottom w:val="none" w:sz="0" w:space="0" w:color="auto"/>
        <w:right w:val="none" w:sz="0" w:space="0" w:color="auto"/>
      </w:divBdr>
    </w:div>
    <w:div w:id="1408990838">
      <w:marLeft w:val="0"/>
      <w:marRight w:val="0"/>
      <w:marTop w:val="0"/>
      <w:marBottom w:val="0"/>
      <w:divBdr>
        <w:top w:val="none" w:sz="0" w:space="0" w:color="auto"/>
        <w:left w:val="none" w:sz="0" w:space="0" w:color="auto"/>
        <w:bottom w:val="none" w:sz="0" w:space="0" w:color="auto"/>
        <w:right w:val="none" w:sz="0" w:space="0" w:color="auto"/>
      </w:divBdr>
    </w:div>
    <w:div w:id="1408990839">
      <w:marLeft w:val="0"/>
      <w:marRight w:val="0"/>
      <w:marTop w:val="0"/>
      <w:marBottom w:val="0"/>
      <w:divBdr>
        <w:top w:val="none" w:sz="0" w:space="0" w:color="auto"/>
        <w:left w:val="none" w:sz="0" w:space="0" w:color="auto"/>
        <w:bottom w:val="none" w:sz="0" w:space="0" w:color="auto"/>
        <w:right w:val="none" w:sz="0" w:space="0" w:color="auto"/>
      </w:divBdr>
    </w:div>
    <w:div w:id="1408990840">
      <w:marLeft w:val="0"/>
      <w:marRight w:val="0"/>
      <w:marTop w:val="0"/>
      <w:marBottom w:val="0"/>
      <w:divBdr>
        <w:top w:val="none" w:sz="0" w:space="0" w:color="auto"/>
        <w:left w:val="none" w:sz="0" w:space="0" w:color="auto"/>
        <w:bottom w:val="none" w:sz="0" w:space="0" w:color="auto"/>
        <w:right w:val="none" w:sz="0" w:space="0" w:color="auto"/>
      </w:divBdr>
    </w:div>
    <w:div w:id="1408990841">
      <w:marLeft w:val="0"/>
      <w:marRight w:val="0"/>
      <w:marTop w:val="0"/>
      <w:marBottom w:val="0"/>
      <w:divBdr>
        <w:top w:val="none" w:sz="0" w:space="0" w:color="auto"/>
        <w:left w:val="none" w:sz="0" w:space="0" w:color="auto"/>
        <w:bottom w:val="none" w:sz="0" w:space="0" w:color="auto"/>
        <w:right w:val="none" w:sz="0" w:space="0" w:color="auto"/>
      </w:divBdr>
    </w:div>
    <w:div w:id="1408990842">
      <w:marLeft w:val="0"/>
      <w:marRight w:val="0"/>
      <w:marTop w:val="0"/>
      <w:marBottom w:val="0"/>
      <w:divBdr>
        <w:top w:val="none" w:sz="0" w:space="0" w:color="auto"/>
        <w:left w:val="none" w:sz="0" w:space="0" w:color="auto"/>
        <w:bottom w:val="none" w:sz="0" w:space="0" w:color="auto"/>
        <w:right w:val="none" w:sz="0" w:space="0" w:color="auto"/>
      </w:divBdr>
    </w:div>
    <w:div w:id="1408990843">
      <w:marLeft w:val="0"/>
      <w:marRight w:val="0"/>
      <w:marTop w:val="0"/>
      <w:marBottom w:val="0"/>
      <w:divBdr>
        <w:top w:val="none" w:sz="0" w:space="0" w:color="auto"/>
        <w:left w:val="none" w:sz="0" w:space="0" w:color="auto"/>
        <w:bottom w:val="none" w:sz="0" w:space="0" w:color="auto"/>
        <w:right w:val="none" w:sz="0" w:space="0" w:color="auto"/>
      </w:divBdr>
    </w:div>
    <w:div w:id="1408990844">
      <w:marLeft w:val="0"/>
      <w:marRight w:val="0"/>
      <w:marTop w:val="0"/>
      <w:marBottom w:val="0"/>
      <w:divBdr>
        <w:top w:val="none" w:sz="0" w:space="0" w:color="auto"/>
        <w:left w:val="none" w:sz="0" w:space="0" w:color="auto"/>
        <w:bottom w:val="none" w:sz="0" w:space="0" w:color="auto"/>
        <w:right w:val="none" w:sz="0" w:space="0" w:color="auto"/>
      </w:divBdr>
    </w:div>
    <w:div w:id="1408990845">
      <w:marLeft w:val="0"/>
      <w:marRight w:val="0"/>
      <w:marTop w:val="0"/>
      <w:marBottom w:val="0"/>
      <w:divBdr>
        <w:top w:val="none" w:sz="0" w:space="0" w:color="auto"/>
        <w:left w:val="none" w:sz="0" w:space="0" w:color="auto"/>
        <w:bottom w:val="none" w:sz="0" w:space="0" w:color="auto"/>
        <w:right w:val="none" w:sz="0" w:space="0" w:color="auto"/>
      </w:divBdr>
    </w:div>
    <w:div w:id="1408990846">
      <w:marLeft w:val="0"/>
      <w:marRight w:val="0"/>
      <w:marTop w:val="0"/>
      <w:marBottom w:val="0"/>
      <w:divBdr>
        <w:top w:val="none" w:sz="0" w:space="0" w:color="auto"/>
        <w:left w:val="none" w:sz="0" w:space="0" w:color="auto"/>
        <w:bottom w:val="none" w:sz="0" w:space="0" w:color="auto"/>
        <w:right w:val="none" w:sz="0" w:space="0" w:color="auto"/>
      </w:divBdr>
    </w:div>
    <w:div w:id="1408990847">
      <w:marLeft w:val="0"/>
      <w:marRight w:val="0"/>
      <w:marTop w:val="0"/>
      <w:marBottom w:val="0"/>
      <w:divBdr>
        <w:top w:val="none" w:sz="0" w:space="0" w:color="auto"/>
        <w:left w:val="none" w:sz="0" w:space="0" w:color="auto"/>
        <w:bottom w:val="none" w:sz="0" w:space="0" w:color="auto"/>
        <w:right w:val="none" w:sz="0" w:space="0" w:color="auto"/>
      </w:divBdr>
    </w:div>
    <w:div w:id="1408990848">
      <w:marLeft w:val="0"/>
      <w:marRight w:val="0"/>
      <w:marTop w:val="0"/>
      <w:marBottom w:val="0"/>
      <w:divBdr>
        <w:top w:val="none" w:sz="0" w:space="0" w:color="auto"/>
        <w:left w:val="none" w:sz="0" w:space="0" w:color="auto"/>
        <w:bottom w:val="none" w:sz="0" w:space="0" w:color="auto"/>
        <w:right w:val="none" w:sz="0" w:space="0" w:color="auto"/>
      </w:divBdr>
    </w:div>
    <w:div w:id="1408990849">
      <w:marLeft w:val="0"/>
      <w:marRight w:val="0"/>
      <w:marTop w:val="0"/>
      <w:marBottom w:val="0"/>
      <w:divBdr>
        <w:top w:val="none" w:sz="0" w:space="0" w:color="auto"/>
        <w:left w:val="none" w:sz="0" w:space="0" w:color="auto"/>
        <w:bottom w:val="none" w:sz="0" w:space="0" w:color="auto"/>
        <w:right w:val="none" w:sz="0" w:space="0" w:color="auto"/>
      </w:divBdr>
    </w:div>
    <w:div w:id="1408990850">
      <w:marLeft w:val="0"/>
      <w:marRight w:val="0"/>
      <w:marTop w:val="0"/>
      <w:marBottom w:val="0"/>
      <w:divBdr>
        <w:top w:val="none" w:sz="0" w:space="0" w:color="auto"/>
        <w:left w:val="none" w:sz="0" w:space="0" w:color="auto"/>
        <w:bottom w:val="none" w:sz="0" w:space="0" w:color="auto"/>
        <w:right w:val="none" w:sz="0" w:space="0" w:color="auto"/>
      </w:divBdr>
    </w:div>
    <w:div w:id="1408990851">
      <w:marLeft w:val="0"/>
      <w:marRight w:val="0"/>
      <w:marTop w:val="0"/>
      <w:marBottom w:val="0"/>
      <w:divBdr>
        <w:top w:val="none" w:sz="0" w:space="0" w:color="auto"/>
        <w:left w:val="none" w:sz="0" w:space="0" w:color="auto"/>
        <w:bottom w:val="none" w:sz="0" w:space="0" w:color="auto"/>
        <w:right w:val="none" w:sz="0" w:space="0" w:color="auto"/>
      </w:divBdr>
    </w:div>
    <w:div w:id="1408990852">
      <w:marLeft w:val="0"/>
      <w:marRight w:val="0"/>
      <w:marTop w:val="0"/>
      <w:marBottom w:val="0"/>
      <w:divBdr>
        <w:top w:val="none" w:sz="0" w:space="0" w:color="auto"/>
        <w:left w:val="none" w:sz="0" w:space="0" w:color="auto"/>
        <w:bottom w:val="none" w:sz="0" w:space="0" w:color="auto"/>
        <w:right w:val="none" w:sz="0" w:space="0" w:color="auto"/>
      </w:divBdr>
    </w:div>
    <w:div w:id="1408990853">
      <w:marLeft w:val="0"/>
      <w:marRight w:val="0"/>
      <w:marTop w:val="0"/>
      <w:marBottom w:val="0"/>
      <w:divBdr>
        <w:top w:val="none" w:sz="0" w:space="0" w:color="auto"/>
        <w:left w:val="none" w:sz="0" w:space="0" w:color="auto"/>
        <w:bottom w:val="none" w:sz="0" w:space="0" w:color="auto"/>
        <w:right w:val="none" w:sz="0" w:space="0" w:color="auto"/>
      </w:divBdr>
    </w:div>
    <w:div w:id="1408990854">
      <w:marLeft w:val="0"/>
      <w:marRight w:val="0"/>
      <w:marTop w:val="0"/>
      <w:marBottom w:val="0"/>
      <w:divBdr>
        <w:top w:val="none" w:sz="0" w:space="0" w:color="auto"/>
        <w:left w:val="none" w:sz="0" w:space="0" w:color="auto"/>
        <w:bottom w:val="none" w:sz="0" w:space="0" w:color="auto"/>
        <w:right w:val="none" w:sz="0" w:space="0" w:color="auto"/>
      </w:divBdr>
    </w:div>
    <w:div w:id="1408990855">
      <w:marLeft w:val="0"/>
      <w:marRight w:val="0"/>
      <w:marTop w:val="0"/>
      <w:marBottom w:val="0"/>
      <w:divBdr>
        <w:top w:val="none" w:sz="0" w:space="0" w:color="auto"/>
        <w:left w:val="none" w:sz="0" w:space="0" w:color="auto"/>
        <w:bottom w:val="none" w:sz="0" w:space="0" w:color="auto"/>
        <w:right w:val="none" w:sz="0" w:space="0" w:color="auto"/>
      </w:divBdr>
    </w:div>
    <w:div w:id="1408990856">
      <w:marLeft w:val="0"/>
      <w:marRight w:val="0"/>
      <w:marTop w:val="0"/>
      <w:marBottom w:val="0"/>
      <w:divBdr>
        <w:top w:val="none" w:sz="0" w:space="0" w:color="auto"/>
        <w:left w:val="none" w:sz="0" w:space="0" w:color="auto"/>
        <w:bottom w:val="none" w:sz="0" w:space="0" w:color="auto"/>
        <w:right w:val="none" w:sz="0" w:space="0" w:color="auto"/>
      </w:divBdr>
    </w:div>
    <w:div w:id="1408990857">
      <w:marLeft w:val="0"/>
      <w:marRight w:val="0"/>
      <w:marTop w:val="0"/>
      <w:marBottom w:val="0"/>
      <w:divBdr>
        <w:top w:val="none" w:sz="0" w:space="0" w:color="auto"/>
        <w:left w:val="none" w:sz="0" w:space="0" w:color="auto"/>
        <w:bottom w:val="none" w:sz="0" w:space="0" w:color="auto"/>
        <w:right w:val="none" w:sz="0" w:space="0" w:color="auto"/>
      </w:divBdr>
    </w:div>
    <w:div w:id="1408990858">
      <w:marLeft w:val="0"/>
      <w:marRight w:val="0"/>
      <w:marTop w:val="0"/>
      <w:marBottom w:val="0"/>
      <w:divBdr>
        <w:top w:val="none" w:sz="0" w:space="0" w:color="auto"/>
        <w:left w:val="none" w:sz="0" w:space="0" w:color="auto"/>
        <w:bottom w:val="none" w:sz="0" w:space="0" w:color="auto"/>
        <w:right w:val="none" w:sz="0" w:space="0" w:color="auto"/>
      </w:divBdr>
    </w:div>
    <w:div w:id="1408990859">
      <w:marLeft w:val="0"/>
      <w:marRight w:val="0"/>
      <w:marTop w:val="0"/>
      <w:marBottom w:val="0"/>
      <w:divBdr>
        <w:top w:val="none" w:sz="0" w:space="0" w:color="auto"/>
        <w:left w:val="none" w:sz="0" w:space="0" w:color="auto"/>
        <w:bottom w:val="none" w:sz="0" w:space="0" w:color="auto"/>
        <w:right w:val="none" w:sz="0" w:space="0" w:color="auto"/>
      </w:divBdr>
    </w:div>
    <w:div w:id="1408990860">
      <w:marLeft w:val="0"/>
      <w:marRight w:val="0"/>
      <w:marTop w:val="0"/>
      <w:marBottom w:val="0"/>
      <w:divBdr>
        <w:top w:val="none" w:sz="0" w:space="0" w:color="auto"/>
        <w:left w:val="none" w:sz="0" w:space="0" w:color="auto"/>
        <w:bottom w:val="none" w:sz="0" w:space="0" w:color="auto"/>
        <w:right w:val="none" w:sz="0" w:space="0" w:color="auto"/>
      </w:divBdr>
    </w:div>
    <w:div w:id="1408990861">
      <w:marLeft w:val="0"/>
      <w:marRight w:val="0"/>
      <w:marTop w:val="0"/>
      <w:marBottom w:val="0"/>
      <w:divBdr>
        <w:top w:val="none" w:sz="0" w:space="0" w:color="auto"/>
        <w:left w:val="none" w:sz="0" w:space="0" w:color="auto"/>
        <w:bottom w:val="none" w:sz="0" w:space="0" w:color="auto"/>
        <w:right w:val="none" w:sz="0" w:space="0" w:color="auto"/>
      </w:divBdr>
    </w:div>
    <w:div w:id="1408990862">
      <w:marLeft w:val="0"/>
      <w:marRight w:val="0"/>
      <w:marTop w:val="0"/>
      <w:marBottom w:val="0"/>
      <w:divBdr>
        <w:top w:val="none" w:sz="0" w:space="0" w:color="auto"/>
        <w:left w:val="none" w:sz="0" w:space="0" w:color="auto"/>
        <w:bottom w:val="none" w:sz="0" w:space="0" w:color="auto"/>
        <w:right w:val="none" w:sz="0" w:space="0" w:color="auto"/>
      </w:divBdr>
    </w:div>
    <w:div w:id="1408990863">
      <w:marLeft w:val="0"/>
      <w:marRight w:val="0"/>
      <w:marTop w:val="0"/>
      <w:marBottom w:val="0"/>
      <w:divBdr>
        <w:top w:val="none" w:sz="0" w:space="0" w:color="auto"/>
        <w:left w:val="none" w:sz="0" w:space="0" w:color="auto"/>
        <w:bottom w:val="none" w:sz="0" w:space="0" w:color="auto"/>
        <w:right w:val="none" w:sz="0" w:space="0" w:color="auto"/>
      </w:divBdr>
    </w:div>
    <w:div w:id="1408990864">
      <w:marLeft w:val="0"/>
      <w:marRight w:val="0"/>
      <w:marTop w:val="0"/>
      <w:marBottom w:val="0"/>
      <w:divBdr>
        <w:top w:val="none" w:sz="0" w:space="0" w:color="auto"/>
        <w:left w:val="none" w:sz="0" w:space="0" w:color="auto"/>
        <w:bottom w:val="none" w:sz="0" w:space="0" w:color="auto"/>
        <w:right w:val="none" w:sz="0" w:space="0" w:color="auto"/>
      </w:divBdr>
    </w:div>
    <w:div w:id="1408990865">
      <w:marLeft w:val="0"/>
      <w:marRight w:val="0"/>
      <w:marTop w:val="0"/>
      <w:marBottom w:val="0"/>
      <w:divBdr>
        <w:top w:val="none" w:sz="0" w:space="0" w:color="auto"/>
        <w:left w:val="none" w:sz="0" w:space="0" w:color="auto"/>
        <w:bottom w:val="none" w:sz="0" w:space="0" w:color="auto"/>
        <w:right w:val="none" w:sz="0" w:space="0" w:color="auto"/>
      </w:divBdr>
    </w:div>
    <w:div w:id="1408990866">
      <w:marLeft w:val="0"/>
      <w:marRight w:val="0"/>
      <w:marTop w:val="0"/>
      <w:marBottom w:val="0"/>
      <w:divBdr>
        <w:top w:val="none" w:sz="0" w:space="0" w:color="auto"/>
        <w:left w:val="none" w:sz="0" w:space="0" w:color="auto"/>
        <w:bottom w:val="none" w:sz="0" w:space="0" w:color="auto"/>
        <w:right w:val="none" w:sz="0" w:space="0" w:color="auto"/>
      </w:divBdr>
    </w:div>
    <w:div w:id="1408990867">
      <w:marLeft w:val="0"/>
      <w:marRight w:val="0"/>
      <w:marTop w:val="0"/>
      <w:marBottom w:val="0"/>
      <w:divBdr>
        <w:top w:val="none" w:sz="0" w:space="0" w:color="auto"/>
        <w:left w:val="none" w:sz="0" w:space="0" w:color="auto"/>
        <w:bottom w:val="none" w:sz="0" w:space="0" w:color="auto"/>
        <w:right w:val="none" w:sz="0" w:space="0" w:color="auto"/>
      </w:divBdr>
    </w:div>
    <w:div w:id="1408990868">
      <w:marLeft w:val="0"/>
      <w:marRight w:val="0"/>
      <w:marTop w:val="0"/>
      <w:marBottom w:val="0"/>
      <w:divBdr>
        <w:top w:val="none" w:sz="0" w:space="0" w:color="auto"/>
        <w:left w:val="none" w:sz="0" w:space="0" w:color="auto"/>
        <w:bottom w:val="none" w:sz="0" w:space="0" w:color="auto"/>
        <w:right w:val="none" w:sz="0" w:space="0" w:color="auto"/>
      </w:divBdr>
    </w:div>
    <w:div w:id="1408990869">
      <w:marLeft w:val="0"/>
      <w:marRight w:val="0"/>
      <w:marTop w:val="0"/>
      <w:marBottom w:val="0"/>
      <w:divBdr>
        <w:top w:val="none" w:sz="0" w:space="0" w:color="auto"/>
        <w:left w:val="none" w:sz="0" w:space="0" w:color="auto"/>
        <w:bottom w:val="none" w:sz="0" w:space="0" w:color="auto"/>
        <w:right w:val="none" w:sz="0" w:space="0" w:color="auto"/>
      </w:divBdr>
    </w:div>
    <w:div w:id="1408990870">
      <w:marLeft w:val="0"/>
      <w:marRight w:val="0"/>
      <w:marTop w:val="0"/>
      <w:marBottom w:val="0"/>
      <w:divBdr>
        <w:top w:val="none" w:sz="0" w:space="0" w:color="auto"/>
        <w:left w:val="none" w:sz="0" w:space="0" w:color="auto"/>
        <w:bottom w:val="none" w:sz="0" w:space="0" w:color="auto"/>
        <w:right w:val="none" w:sz="0" w:space="0" w:color="auto"/>
      </w:divBdr>
    </w:div>
    <w:div w:id="1408990871">
      <w:marLeft w:val="0"/>
      <w:marRight w:val="0"/>
      <w:marTop w:val="0"/>
      <w:marBottom w:val="0"/>
      <w:divBdr>
        <w:top w:val="none" w:sz="0" w:space="0" w:color="auto"/>
        <w:left w:val="none" w:sz="0" w:space="0" w:color="auto"/>
        <w:bottom w:val="none" w:sz="0" w:space="0" w:color="auto"/>
        <w:right w:val="none" w:sz="0" w:space="0" w:color="auto"/>
      </w:divBdr>
    </w:div>
    <w:div w:id="1408990872">
      <w:marLeft w:val="0"/>
      <w:marRight w:val="0"/>
      <w:marTop w:val="0"/>
      <w:marBottom w:val="0"/>
      <w:divBdr>
        <w:top w:val="none" w:sz="0" w:space="0" w:color="auto"/>
        <w:left w:val="none" w:sz="0" w:space="0" w:color="auto"/>
        <w:bottom w:val="none" w:sz="0" w:space="0" w:color="auto"/>
        <w:right w:val="none" w:sz="0" w:space="0" w:color="auto"/>
      </w:divBdr>
    </w:div>
    <w:div w:id="1408990873">
      <w:marLeft w:val="0"/>
      <w:marRight w:val="0"/>
      <w:marTop w:val="0"/>
      <w:marBottom w:val="0"/>
      <w:divBdr>
        <w:top w:val="none" w:sz="0" w:space="0" w:color="auto"/>
        <w:left w:val="none" w:sz="0" w:space="0" w:color="auto"/>
        <w:bottom w:val="none" w:sz="0" w:space="0" w:color="auto"/>
        <w:right w:val="none" w:sz="0" w:space="0" w:color="auto"/>
      </w:divBdr>
    </w:div>
    <w:div w:id="1408990874">
      <w:marLeft w:val="0"/>
      <w:marRight w:val="0"/>
      <w:marTop w:val="0"/>
      <w:marBottom w:val="0"/>
      <w:divBdr>
        <w:top w:val="none" w:sz="0" w:space="0" w:color="auto"/>
        <w:left w:val="none" w:sz="0" w:space="0" w:color="auto"/>
        <w:bottom w:val="none" w:sz="0" w:space="0" w:color="auto"/>
        <w:right w:val="none" w:sz="0" w:space="0" w:color="auto"/>
      </w:divBdr>
    </w:div>
    <w:div w:id="1408990875">
      <w:marLeft w:val="0"/>
      <w:marRight w:val="0"/>
      <w:marTop w:val="0"/>
      <w:marBottom w:val="0"/>
      <w:divBdr>
        <w:top w:val="none" w:sz="0" w:space="0" w:color="auto"/>
        <w:left w:val="none" w:sz="0" w:space="0" w:color="auto"/>
        <w:bottom w:val="none" w:sz="0" w:space="0" w:color="auto"/>
        <w:right w:val="none" w:sz="0" w:space="0" w:color="auto"/>
      </w:divBdr>
    </w:div>
    <w:div w:id="1408990876">
      <w:marLeft w:val="0"/>
      <w:marRight w:val="0"/>
      <w:marTop w:val="0"/>
      <w:marBottom w:val="0"/>
      <w:divBdr>
        <w:top w:val="none" w:sz="0" w:space="0" w:color="auto"/>
        <w:left w:val="none" w:sz="0" w:space="0" w:color="auto"/>
        <w:bottom w:val="none" w:sz="0" w:space="0" w:color="auto"/>
        <w:right w:val="none" w:sz="0" w:space="0" w:color="auto"/>
      </w:divBdr>
    </w:div>
    <w:div w:id="1408990877">
      <w:marLeft w:val="0"/>
      <w:marRight w:val="0"/>
      <w:marTop w:val="0"/>
      <w:marBottom w:val="0"/>
      <w:divBdr>
        <w:top w:val="none" w:sz="0" w:space="0" w:color="auto"/>
        <w:left w:val="none" w:sz="0" w:space="0" w:color="auto"/>
        <w:bottom w:val="none" w:sz="0" w:space="0" w:color="auto"/>
        <w:right w:val="none" w:sz="0" w:space="0" w:color="auto"/>
      </w:divBdr>
    </w:div>
    <w:div w:id="1408990878">
      <w:marLeft w:val="0"/>
      <w:marRight w:val="0"/>
      <w:marTop w:val="0"/>
      <w:marBottom w:val="0"/>
      <w:divBdr>
        <w:top w:val="none" w:sz="0" w:space="0" w:color="auto"/>
        <w:left w:val="none" w:sz="0" w:space="0" w:color="auto"/>
        <w:bottom w:val="none" w:sz="0" w:space="0" w:color="auto"/>
        <w:right w:val="none" w:sz="0" w:space="0" w:color="auto"/>
      </w:divBdr>
    </w:div>
    <w:div w:id="1408990879">
      <w:marLeft w:val="0"/>
      <w:marRight w:val="0"/>
      <w:marTop w:val="0"/>
      <w:marBottom w:val="0"/>
      <w:divBdr>
        <w:top w:val="none" w:sz="0" w:space="0" w:color="auto"/>
        <w:left w:val="none" w:sz="0" w:space="0" w:color="auto"/>
        <w:bottom w:val="none" w:sz="0" w:space="0" w:color="auto"/>
        <w:right w:val="none" w:sz="0" w:space="0" w:color="auto"/>
      </w:divBdr>
    </w:div>
    <w:div w:id="1408990880">
      <w:marLeft w:val="0"/>
      <w:marRight w:val="0"/>
      <w:marTop w:val="0"/>
      <w:marBottom w:val="0"/>
      <w:divBdr>
        <w:top w:val="none" w:sz="0" w:space="0" w:color="auto"/>
        <w:left w:val="none" w:sz="0" w:space="0" w:color="auto"/>
        <w:bottom w:val="none" w:sz="0" w:space="0" w:color="auto"/>
        <w:right w:val="none" w:sz="0" w:space="0" w:color="auto"/>
      </w:divBdr>
    </w:div>
    <w:div w:id="1408990881">
      <w:marLeft w:val="0"/>
      <w:marRight w:val="0"/>
      <w:marTop w:val="0"/>
      <w:marBottom w:val="0"/>
      <w:divBdr>
        <w:top w:val="none" w:sz="0" w:space="0" w:color="auto"/>
        <w:left w:val="none" w:sz="0" w:space="0" w:color="auto"/>
        <w:bottom w:val="none" w:sz="0" w:space="0" w:color="auto"/>
        <w:right w:val="none" w:sz="0" w:space="0" w:color="auto"/>
      </w:divBdr>
    </w:div>
    <w:div w:id="1408990882">
      <w:marLeft w:val="0"/>
      <w:marRight w:val="0"/>
      <w:marTop w:val="0"/>
      <w:marBottom w:val="0"/>
      <w:divBdr>
        <w:top w:val="none" w:sz="0" w:space="0" w:color="auto"/>
        <w:left w:val="none" w:sz="0" w:space="0" w:color="auto"/>
        <w:bottom w:val="none" w:sz="0" w:space="0" w:color="auto"/>
        <w:right w:val="none" w:sz="0" w:space="0" w:color="auto"/>
      </w:divBdr>
    </w:div>
    <w:div w:id="1408990883">
      <w:marLeft w:val="0"/>
      <w:marRight w:val="0"/>
      <w:marTop w:val="0"/>
      <w:marBottom w:val="0"/>
      <w:divBdr>
        <w:top w:val="none" w:sz="0" w:space="0" w:color="auto"/>
        <w:left w:val="none" w:sz="0" w:space="0" w:color="auto"/>
        <w:bottom w:val="none" w:sz="0" w:space="0" w:color="auto"/>
        <w:right w:val="none" w:sz="0" w:space="0" w:color="auto"/>
      </w:divBdr>
    </w:div>
    <w:div w:id="1408990884">
      <w:marLeft w:val="0"/>
      <w:marRight w:val="0"/>
      <w:marTop w:val="0"/>
      <w:marBottom w:val="0"/>
      <w:divBdr>
        <w:top w:val="none" w:sz="0" w:space="0" w:color="auto"/>
        <w:left w:val="none" w:sz="0" w:space="0" w:color="auto"/>
        <w:bottom w:val="none" w:sz="0" w:space="0" w:color="auto"/>
        <w:right w:val="none" w:sz="0" w:space="0" w:color="auto"/>
      </w:divBdr>
    </w:div>
    <w:div w:id="1408990885">
      <w:marLeft w:val="0"/>
      <w:marRight w:val="0"/>
      <w:marTop w:val="0"/>
      <w:marBottom w:val="0"/>
      <w:divBdr>
        <w:top w:val="none" w:sz="0" w:space="0" w:color="auto"/>
        <w:left w:val="none" w:sz="0" w:space="0" w:color="auto"/>
        <w:bottom w:val="none" w:sz="0" w:space="0" w:color="auto"/>
        <w:right w:val="none" w:sz="0" w:space="0" w:color="auto"/>
      </w:divBdr>
    </w:div>
    <w:div w:id="1408990886">
      <w:marLeft w:val="0"/>
      <w:marRight w:val="0"/>
      <w:marTop w:val="0"/>
      <w:marBottom w:val="0"/>
      <w:divBdr>
        <w:top w:val="none" w:sz="0" w:space="0" w:color="auto"/>
        <w:left w:val="none" w:sz="0" w:space="0" w:color="auto"/>
        <w:bottom w:val="none" w:sz="0" w:space="0" w:color="auto"/>
        <w:right w:val="none" w:sz="0" w:space="0" w:color="auto"/>
      </w:divBdr>
    </w:div>
    <w:div w:id="1408990887">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DEF4FB-F858-43CB-A24C-AFB773631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30138</Words>
  <Characters>171789</Characters>
  <Application>Microsoft Office Word</Application>
  <DocSecurity>0</DocSecurity>
  <Lines>1431</Lines>
  <Paragraphs>403</Paragraphs>
  <ScaleCrop>false</ScaleCrop>
  <Company>Abyss Studios, Ltd.</Company>
  <LinksUpToDate>false</LinksUpToDate>
  <CharactersWithSpaces>201524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koki</dc:creator>
  <cp:keywords/>
  <dc:description/>
  <cp:lastModifiedBy>Juraj GOGORA</cp:lastModifiedBy>
  <cp:revision>2</cp:revision>
  <cp:lastPrinted>2014-09-29T21:37:00Z</cp:lastPrinted>
  <dcterms:created xsi:type="dcterms:W3CDTF">2018-04-16T08:28:00Z</dcterms:created>
  <dcterms:modified xsi:type="dcterms:W3CDTF">2018-04-16T08:28:00Z</dcterms:modified>
</cp:coreProperties>
</file>