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4929"/>
      </w:tblGrid>
      <w:tr w:rsidR="00FB09E3" w:rsidRPr="00D578E2" w:rsidTr="00D770E6">
        <w:trPr>
          <w:trHeight w:val="411"/>
          <w:tblHeader/>
        </w:trPr>
        <w:tc>
          <w:tcPr>
            <w:tcW w:w="4219" w:type="dxa"/>
            <w:shd w:val="clear" w:color="auto" w:fill="FDE9D9"/>
            <w:vAlign w:val="center"/>
          </w:tcPr>
          <w:p w:rsidR="00FB09E3" w:rsidRPr="00D578E2" w:rsidRDefault="00FB09E3" w:rsidP="00D770E6">
            <w:pPr>
              <w:tabs>
                <w:tab w:val="left" w:pos="5020"/>
              </w:tabs>
              <w:spacing w:after="200" w:line="276" w:lineRule="auto"/>
              <w:jc w:val="center"/>
              <w:rPr>
                <w:rFonts w:ascii="Calibri" w:eastAsia="Calibri" w:hAnsi="Calibri"/>
                <w:b/>
                <w:sz w:val="20"/>
                <w:szCs w:val="20"/>
                <w:lang w:eastAsia="en-US"/>
              </w:rPr>
            </w:pPr>
            <w:bookmarkStart w:id="0" w:name="_GoBack"/>
            <w:bookmarkEnd w:id="0"/>
            <w:r w:rsidRPr="00D578E2">
              <w:rPr>
                <w:rFonts w:ascii="Calibri" w:eastAsia="Calibri" w:hAnsi="Calibri"/>
                <w:b/>
                <w:sz w:val="20"/>
                <w:szCs w:val="20"/>
                <w:lang w:eastAsia="en-US"/>
              </w:rPr>
              <w:t>Názov inštitúcie</w:t>
            </w:r>
          </w:p>
        </w:tc>
        <w:tc>
          <w:tcPr>
            <w:tcW w:w="4929" w:type="dxa"/>
            <w:shd w:val="clear" w:color="auto" w:fill="FDE9D9"/>
            <w:vAlign w:val="center"/>
          </w:tcPr>
          <w:p w:rsidR="00FB09E3" w:rsidRPr="00D578E2" w:rsidRDefault="00FB09E3" w:rsidP="00D770E6">
            <w:pPr>
              <w:tabs>
                <w:tab w:val="left" w:pos="5020"/>
              </w:tabs>
              <w:spacing w:after="200" w:line="276" w:lineRule="auto"/>
              <w:jc w:val="center"/>
              <w:rPr>
                <w:rFonts w:ascii="Calibri" w:eastAsia="Calibri" w:hAnsi="Calibri"/>
                <w:b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b/>
                <w:sz w:val="20"/>
                <w:szCs w:val="20"/>
                <w:lang w:eastAsia="en-US"/>
              </w:rPr>
              <w:t>Kompetencie/Odbornosť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Banskobystrický samosprávny kraj</w:t>
            </w:r>
          </w:p>
        </w:tc>
        <w:tc>
          <w:tcPr>
            <w:tcW w:w="4929" w:type="dxa"/>
            <w:vMerge w:val="restart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Samosprávne kraje SR pri výkone samosprávy sa starajú o všestranný rozvoj svojho územia a o potreby svojich obyvateľov. Zabezpečuje najmä tvorbu a plnenie programu sociálneho, ekonomického a kultúrneho rozvoja územia samosprávneho kraja.</w:t>
            </w:r>
            <w:r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V zmysle Partnerskej dohody SR 2014-2020 sú gestormi prípravy regionálnych integrovaných územných stratégií na príslušnom území NUTS 3.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Bratislavský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Košický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Nitriansky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Prešovský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Trenčiansky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Trnavský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Žilinský samosprávny kraj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Ministerstvo hospodárstva SR</w:t>
            </w:r>
          </w:p>
        </w:tc>
        <w:tc>
          <w:tcPr>
            <w:tcW w:w="4929" w:type="dxa"/>
            <w:vMerge w:val="restart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Rezortný partner riešenia problematiky Programu rozvoja vidieka SR.</w:t>
            </w:r>
          </w:p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Ministerstvo dopravy, výstavby a reg. rozvoja  SR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Ministerstvo práce, sociálnych vecí a rodiny SR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Ministerstvo životného prostredia  SR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Ministerstvo financií SR</w:t>
            </w:r>
          </w:p>
        </w:tc>
        <w:tc>
          <w:tcPr>
            <w:tcW w:w="4929" w:type="dxa"/>
            <w:vMerge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Úrad splnomocnenca vlády SR pre rómske komunity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Úrad splnomocnenca vlády SR pre rómske komunity koordinuje a kontroluje činnosti smerujúce k riešeniu problémov rómskej menšiny a po odsúhlasení vládou SR realizuje systémové riešenia na dosiahnutie rovnoprávneho postavenia občanov patriacich k rómskej menšine v spoločnosti. Dbá na dodržiavanie základných práv a slobôd zaručených ústavou a zákonmi SR, ako aj medzinárodnými zmluvami o ľudských právach.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Združenie miest a obcí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Cieľom združenia je obhajovať spoločné záujmy a práva členských miest a obcí pri rešpektovaní ich autonómneho postavenia, v súlade s Európskou chartou miestnej samosprávy, Ústavou SR a zákonmi Slovenskej republiky a na základe princípov trvalo udržateľného rozvoja a sociálnej kohézie, predkladať vecne príslušným ústredným orgánom návrhy na riešenie problémov miestnej územnej samosprávy a zjednocovať postup členských miest a obcí pri vykonávaní im zverených úloh.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Vidiecky parlament SR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Poslaním OZ VIPA SK je presadzovať zvyšovanie kvality života na vidieku a podporovať vidiecke iniciatívy pri riadení vidieckeho rozvoja.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Iniciatíva pre rozvoj slovenského vidieka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Neformálna platforma všetkých obyvateľov a organizácií bez ohľadu na stranícku, národnostnú, náboženskú, rasovú či inú viazanosť.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Slovenská poľnohospodárska a  potravinárska komora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Neštátna, verejnoprávna a samosprávna inštitúcia, ktorej poslaním je uplatňovanie oprávnených spoločných záujmov svojich členov pri tvorbe hospodárskej a sociálnej politiky, účasť na jej uskutočňovaní a podpora a ochrana podnikania svojich členov v záujme rozvoja a zveľaďovania poľnohospodárstva a potravinárstva v Slovenskej republike. Členmi SPPK sú fyzické a právnické osoby, ktoré vykonávajú podnikateľskú činnosť v poľnohospodárstve, potravinárstve a v biologických, technických a obchodných službách pre poľnohospodárstvo a potravinárstvo, ako aj samosprávne organizácie v rezorte pôdohospodárstva a iné subjekty.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Potravinárska komora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Dobrovoľné združenie právnických osôb, založené potravinárskymi firmami pôsobiacimi na Slovensku s cieľom spolupracovať pri obhajovaní spoločných záujmov potravinárskeho priemyslu.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Zväz poľnohospodárskych družstiev a obchodných spoločností SR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Dobrovoľná, nezávislá a samosprávna organizácia združujúca právnické osoby - poľnohospodárske družstvá </w:t>
            </w: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lastRenderedPageBreak/>
              <w:t>a obchodné spoločnosti pôsobiace v poľnohospodárstve.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lastRenderedPageBreak/>
              <w:t>Agrárna  komora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AKS je založená na ochranu záujmov svojich členov fyzických a právnických osôb, ktoré podnikajú v poľnohospodárstve, samostatne hospodáriacich roľníkov a žiadateľov o priame platby na pôdu vykonávajúcich svoju činnosť v Slovenskej republike.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Združenie vlastníkov pôdy a agropodnikateľov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Združuje vlastníkov pôdy a agropodnikateľov Slovenska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Slovenský zväz agropodnikateľov a rodinných fariem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Združuje agropodnikateľov a rodinné farmy s SR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Združenie mladých farmárov 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Združuje mladých farmárov pôsobiacich v SR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Klub 500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Klub 500 tvoria slovenskí vlastníci a spoluvlastníci spoločností zamestnávajúcich viac ako 500 zamestnancov, ide o  neziskové občianske združenie s cieľom chrániť záujmy podnikateľskej obce, zamestnávateľov na Slovensku a prispievať k plnej integrácii ekonomiky SR do Európskej únie. 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MAS Tokaj- Rovina, </w:t>
            </w:r>
            <w:proofErr w:type="spellStart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o.z</w:t>
            </w:r>
            <w:proofErr w:type="spellEnd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MAS pozostáva z 21 obcí, ktoré už od minulosti intenzívne spolupracujú a to nielen z hľadiska teritoriálneho, prírodného, ale aj </w:t>
            </w:r>
            <w:proofErr w:type="spellStart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kultúrno</w:t>
            </w:r>
            <w:proofErr w:type="spellEnd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– spoločenského a sociálneho. 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Národná sieť slovenských MAS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Poslaním NSS MAS je predovšetkým združovať miestne akčné skupiny a verejno-súkromné partnerstvá  pracujúce na princípoch prístupu LEADER a odborníkov pôsobiacich v oblasti regionálneho rozvoja. 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Rada združení vlastníkov neštátnych lesov Slovenska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Rada združení vlastníkov neštátnych lesov Slovenska je reprezentatívnym orgánom zastupujúcim záujmy vlastníkov súkromných, obecných a cirkevných lesov v SR.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Slovenská lesnícka komora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Komora presadzuje a obhajuje oprávnené, profesijné, sociálne a hospodárske záujmy svojich členov. Pri plnení tohto poslania komora vstupuje do právnych vzťahov so štátnymi orgánmi, orgánmi samospráv a inými právnickými a fyzickými osobami.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proofErr w:type="spellStart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Agro-eko</w:t>
            </w:r>
            <w:proofErr w:type="spellEnd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fórum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proofErr w:type="spellStart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Agro-ekofórum</w:t>
            </w:r>
            <w:proofErr w:type="spellEnd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(AEF) vzniklo ako platforma dvanástich slovenských mimovládnych organizácií, ktoré sa zaoberajú rôznymi problémami v oblasti poľnohospodárstva a lesníctva.</w:t>
            </w:r>
          </w:p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Hlavným poslaním AEF je presadzovať zásady trvalo udržateľného poľnohospodárstva a lesníctva na politickej úrovni aj v praxi. 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Slovenská poľnohospodárska univerzita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Poskytovanie pedagogickej a vedeckovýskumnej činnosti v oblasti poľnohospodárstva.</w:t>
            </w:r>
          </w:p>
        </w:tc>
      </w:tr>
      <w:tr w:rsidR="00FB09E3" w:rsidRPr="00D578E2" w:rsidTr="00D770E6">
        <w:trPr>
          <w:trHeight w:val="543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 Národné poľnohospodárske a potravinárske centrum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Centrum zabezpečuje komplexný výskum a zhromažďovanie poznatkov z oblasti trvalo udržateľného využívania a ochrany prírodných, predovšetkým pôdnych zdrojov a vody pre pestovanie rastlín a chov zvierat, zabezpečenia kvality, bezpečnosti, inovácií a  konkurencieschopnosti potravín i nepotravinárskych výrobkov poľnohospodárskeho pôvodu, produkčného i </w:t>
            </w:r>
            <w:proofErr w:type="spellStart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mimoprodukčného</w:t>
            </w:r>
            <w:proofErr w:type="spellEnd"/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 vplyvu poľnohospodárstva na životné prostredie a rozvoj vidieka a transfer poznatkov poľnohospodárskeho výskumu užívateľom. 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Agentúra pre rozvoj vidieka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 xml:space="preserve">Poslaním Agentúry pre rozvoj vidieka je zhromažďovať, analyzovať a šíriť informácie v oblasti rozvoja vidieka, </w:t>
            </w: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lastRenderedPageBreak/>
              <w:t>zabezpečovať spätnú väzbu zodpovedným orgánom vo vzťahu k rozvoju vidieka, podporovať aktivity trvalo udržateľného, vyváženého sociálno-ekonomického rozvoja vidieckych sídiel, poskytovať poradenstvo potenciálnym a existujúcim podnikateľským subjektom, verejnému a neziskovému sektoru na vidieku k ich činnosti zameranej na rozvoj vidieka.</w:t>
            </w:r>
          </w:p>
        </w:tc>
      </w:tr>
      <w:tr w:rsidR="00FB09E3" w:rsidRPr="00D578E2" w:rsidTr="00D770E6">
        <w:trPr>
          <w:trHeight w:val="145"/>
        </w:trPr>
        <w:tc>
          <w:tcPr>
            <w:tcW w:w="421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lastRenderedPageBreak/>
              <w:t>Národné lesnícke centrum</w:t>
            </w:r>
          </w:p>
        </w:tc>
        <w:tc>
          <w:tcPr>
            <w:tcW w:w="4929" w:type="dxa"/>
            <w:shd w:val="clear" w:color="auto" w:fill="auto"/>
          </w:tcPr>
          <w:p w:rsidR="00FB09E3" w:rsidRPr="00D578E2" w:rsidRDefault="00FB09E3" w:rsidP="00D770E6">
            <w:pPr>
              <w:tabs>
                <w:tab w:val="left" w:pos="5020"/>
              </w:tabs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 w:rsidRPr="00D578E2">
              <w:rPr>
                <w:rFonts w:ascii="Calibri" w:eastAsia="Calibri" w:hAnsi="Calibri"/>
                <w:sz w:val="20"/>
                <w:szCs w:val="20"/>
                <w:lang w:eastAsia="en-US"/>
              </w:rPr>
              <w:t>Zabezpečuje výskum a vývoj vo všetkých oblastiach lesníctva a príbuzných odvetviach, vykonáva funkciu koordinačného pracoviska pre výskumné a vývojové úlohy v LH.</w:t>
            </w:r>
          </w:p>
        </w:tc>
      </w:tr>
    </w:tbl>
    <w:p w:rsidR="00DC066E" w:rsidRDefault="00DC066E"/>
    <w:sectPr w:rsidR="00DC06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9E3"/>
    <w:rsid w:val="00162A15"/>
    <w:rsid w:val="007B0C56"/>
    <w:rsid w:val="009C5A6C"/>
    <w:rsid w:val="00DC066E"/>
    <w:rsid w:val="00FB0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09E3"/>
    <w:pPr>
      <w:spacing w:after="0"/>
      <w:jc w:val="both"/>
    </w:pPr>
    <w:rPr>
      <w:rFonts w:eastAsia="Times New Roman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09E3"/>
    <w:pPr>
      <w:spacing w:after="0"/>
      <w:jc w:val="both"/>
    </w:pPr>
    <w:rPr>
      <w:rFonts w:eastAsia="Times New Roman" w:cs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Hetényiová Beáta</dc:creator>
  <cp:lastModifiedBy>Hetényiová Beáta</cp:lastModifiedBy>
  <cp:revision>2</cp:revision>
  <dcterms:created xsi:type="dcterms:W3CDTF">2014-11-27T13:49:00Z</dcterms:created>
  <dcterms:modified xsi:type="dcterms:W3CDTF">2014-11-27T13:49:00Z</dcterms:modified>
</cp:coreProperties>
</file>